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19C0" w14:textId="77777777" w:rsidR="00FA731F" w:rsidRPr="00BF4410" w:rsidRDefault="00E31A6E" w:rsidP="00AB46EC">
      <w:pPr>
        <w:tabs>
          <w:tab w:val="left" w:pos="2760"/>
        </w:tabs>
        <w:spacing w:after="0" w:line="276" w:lineRule="auto"/>
        <w:rPr>
          <w:rFonts w:ascii="Tahoma" w:hAnsi="Tahoma" w:cs="Tahoma"/>
        </w:rPr>
      </w:pPr>
      <w:r w:rsidRPr="00BF4410">
        <w:rPr>
          <w:rFonts w:ascii="Tahoma" w:hAnsi="Tahoma" w:cs="Tahoma"/>
        </w:rPr>
        <w:tab/>
      </w:r>
    </w:p>
    <w:p w14:paraId="57D7A899" w14:textId="77777777" w:rsidR="00B97528" w:rsidRPr="00BF4410" w:rsidRDefault="00321F46" w:rsidP="00321F46">
      <w:pPr>
        <w:tabs>
          <w:tab w:val="left" w:pos="3590"/>
          <w:tab w:val="left" w:pos="9072"/>
        </w:tabs>
        <w:spacing w:after="0" w:line="276" w:lineRule="auto"/>
        <w:rPr>
          <w:rFonts w:ascii="Tahoma" w:hAnsi="Tahoma" w:cs="Tahoma"/>
        </w:rPr>
      </w:pPr>
      <w:r w:rsidRPr="00BF4410">
        <w:rPr>
          <w:rFonts w:ascii="Tahoma" w:hAnsi="Tahoma" w:cs="Tahoma"/>
        </w:rPr>
        <w:tab/>
      </w:r>
    </w:p>
    <w:p w14:paraId="076BEB39" w14:textId="77777777" w:rsidR="00E43461" w:rsidRPr="00BF4410" w:rsidRDefault="00E43461" w:rsidP="00AB46EC">
      <w:pPr>
        <w:spacing w:after="0" w:line="276" w:lineRule="auto"/>
        <w:rPr>
          <w:rFonts w:ascii="Tahoma" w:hAnsi="Tahoma" w:cs="Tahoma"/>
        </w:rPr>
      </w:pPr>
    </w:p>
    <w:p w14:paraId="629899B0" w14:textId="6817BB1A" w:rsidR="00A50D5D" w:rsidRPr="003028E7" w:rsidRDefault="00A50D5D" w:rsidP="00A50D5D">
      <w:pPr>
        <w:pBdr>
          <w:top w:val="nil"/>
          <w:left w:val="nil"/>
          <w:bottom w:val="nil"/>
          <w:right w:val="nil"/>
          <w:between w:val="nil"/>
        </w:pBdr>
        <w:spacing w:before="120" w:after="280" w:line="276" w:lineRule="auto"/>
        <w:rPr>
          <w:i/>
          <w:color w:val="000000"/>
          <w:lang w:val="en-US"/>
        </w:rPr>
      </w:pPr>
      <w:r w:rsidRPr="00A2426A">
        <w:rPr>
          <w:i/>
          <w:color w:val="000000"/>
        </w:rPr>
        <w:t>Pranešimas žiniasklaidai</w:t>
      </w:r>
      <w:r w:rsidRPr="00A2426A">
        <w:rPr>
          <w:i/>
          <w:color w:val="000000"/>
        </w:rPr>
        <w:br/>
        <w:t>2026 m.</w:t>
      </w:r>
      <w:r>
        <w:rPr>
          <w:i/>
          <w:color w:val="000000"/>
        </w:rPr>
        <w:t xml:space="preserve"> lapkričio </w:t>
      </w:r>
      <w:r w:rsidR="00FE6490">
        <w:rPr>
          <w:i/>
          <w:color w:val="000000"/>
          <w:lang w:val="en-US"/>
        </w:rPr>
        <w:t>6</w:t>
      </w:r>
      <w:r>
        <w:rPr>
          <w:i/>
          <w:color w:val="000000"/>
          <w:lang w:val="en-US"/>
        </w:rPr>
        <w:t xml:space="preserve"> d. </w:t>
      </w:r>
    </w:p>
    <w:p w14:paraId="134CE243" w14:textId="77777777" w:rsidR="00A50D5D" w:rsidRPr="00EB08F7" w:rsidRDefault="00A50D5D" w:rsidP="00A50D5D">
      <w:pPr>
        <w:pBdr>
          <w:top w:val="nil"/>
          <w:left w:val="nil"/>
          <w:bottom w:val="nil"/>
          <w:right w:val="nil"/>
          <w:between w:val="nil"/>
        </w:pBdr>
        <w:spacing w:before="160"/>
        <w:jc w:val="both"/>
        <w:rPr>
          <w:rFonts w:cs="Calibri"/>
          <w:b/>
          <w:bCs/>
        </w:rPr>
      </w:pPr>
      <w:r w:rsidRPr="00EB08F7">
        <w:rPr>
          <w:rFonts w:cs="Calibri"/>
          <w:b/>
          <w:bCs/>
          <w:sz w:val="28"/>
          <w:szCs w:val="28"/>
        </w:rPr>
        <w:t>Vietoj lauktuvių – tūkstantinė gydymo sąskaita: ką verta žinoti prieš kelionę į Egiptą?</w:t>
      </w:r>
    </w:p>
    <w:p w14:paraId="0790D858"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Vienas nesėkmingas žingsnis ant laivo denio – ir lietuvės atostogų Egipte įspūdžius papildė daugiau nei 1,3 tūkst. eurų gydymo sąskaita. Draudimo bendrovės BTA duomenimis, pernai šioje lietuvių pamėgtoje kryptyje registruota daugiau kaip 800 kelionių draudimo žalų, o dažniausiai poilsį koregavo ne didelės nelaimės, bet visai kasdieniški sveikatos negalavimai. Draudimo ir kelionių ekspertai pataria, kuo pasirūpinti dar prieš išvykstant, kad atostogų metu daugiau laiko liktų saulei ir jūrai, o mažiau – netikėtiems rūpesčiams.</w:t>
      </w:r>
    </w:p>
    <w:p w14:paraId="5AC85DB1"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Minėtu atveju ant medinio laivo denio pargriuvusi moteris stipriai susimušė petį ir alkūnę, dėl ko viešbučio medicinos punkte jai buvo atlikti rentgeno tyrimai, o nustačius stiprius sumušimus, bet neaptikus lūžių, skirta lašelinė su vaistais. Tačiau tai – tik vienas iš daugelio atvejų, kuriuos pernai Egipte registravo draudimo bendrovė BTA. Jos duomenimis, 2025 metais šioje lietuvių pamėgtoje atostogų kryptyje registruotų kelionių draudimo žalų bendra išmokų suma siekė beveik 215 tūkst. eurų. Dažniausiai pagalbos prireikė dėl virškinimo sutrikimų ir apsinuodijimų maistu, tačiau netrūko ir traumų, kvėpavimo takų infekcijų bei alerginių reakcijų.</w:t>
      </w:r>
    </w:p>
    <w:p w14:paraId="53BF3235"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„Atostogaujant retai susimąstome, kad net ir paprastas apsinuodijimas ar nesėkmingas kritimas gali baigtis gydytojo konsultacijomis, tyrimais ir nemaža sąskaita. Todėl svarbu ne tik turėti kelionių draudimą, bet ir iš anksto žinoti, kur kreiptis prireikus pagalbos“, – sako BTA draudimo Asmens draudimo produkto vadovas Gediminas </w:t>
      </w:r>
      <w:proofErr w:type="spellStart"/>
      <w:r w:rsidRPr="00A50D5D">
        <w:rPr>
          <w:rFonts w:cs="Calibri"/>
        </w:rPr>
        <w:t>Bulenokas</w:t>
      </w:r>
      <w:proofErr w:type="spellEnd"/>
      <w:r w:rsidRPr="00A50D5D">
        <w:rPr>
          <w:rFonts w:cs="Calibri"/>
        </w:rPr>
        <w:t>.</w:t>
      </w:r>
    </w:p>
    <w:p w14:paraId="68F5EC19"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Pigi ekskursija – ar tikrai geras pasiūlymas?</w:t>
      </w:r>
    </w:p>
    <w:p w14:paraId="3D6F7AE9"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Egiptas lietuviams jau seniai nebėra vien poilsio prie baseino kryptis. Keliautojai vis dažniau leidžiasi į pažintines išvykas, domisi vietos istorija ir kultūra bei ieško naujų įspūdžių. Tačiau kartu su ilgesniu pramogų sąrašu atsiranda ir daugiau dalykų, kuriuos verta apgalvoti.</w:t>
      </w:r>
    </w:p>
    <w:p w14:paraId="78CB11D6"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„Lietuviams Egiptas išlieka viena populiariausių rudens ir žiemos atostogų krypčių. Pastebime, kad keliautojai vis daugiau dėmesio skiria ne tik kainai, bet ir bendrai poilsio kokybei, viešbučio paslaugoms, komfortui bei papildomoms patirtims. Dažniau pasirenkami aukštesnės kategorijos viešbučiai, ilgesnės trukmės atostogos, poilsis prie jūros derinamas su pažintinėmis ekskursijomis“, – sako didžiausio Lietuvos kelionių organizatoriaus „</w:t>
      </w:r>
      <w:proofErr w:type="spellStart"/>
      <w:r w:rsidRPr="00A50D5D">
        <w:rPr>
          <w:rFonts w:cs="Calibri"/>
        </w:rPr>
        <w:t>Tez</w:t>
      </w:r>
      <w:proofErr w:type="spellEnd"/>
      <w:r w:rsidRPr="00A50D5D">
        <w:rPr>
          <w:rFonts w:cs="Calibri"/>
        </w:rPr>
        <w:t xml:space="preserve"> </w:t>
      </w:r>
      <w:proofErr w:type="spellStart"/>
      <w:r w:rsidRPr="00A50D5D">
        <w:rPr>
          <w:rFonts w:cs="Calibri"/>
        </w:rPr>
        <w:t>Tour</w:t>
      </w:r>
      <w:proofErr w:type="spellEnd"/>
      <w:r w:rsidRPr="00A50D5D">
        <w:rPr>
          <w:rFonts w:cs="Calibri"/>
        </w:rPr>
        <w:t>“ ryšių su visuomene ir rinkodaros skyriaus vadovė Inga Aukštuolytė.</w:t>
      </w:r>
    </w:p>
    <w:p w14:paraId="21782CBD"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Vis dėlto, anot jos, renkantis ekskursijas nereikėtų susigundyti vien mažesne kaina. Pasitaiko atvejų, kai gatvėje įsigytos išvykos neatitinka pažadėtos programos, apie papildomas išlaidas turistai sužino tik kelionės metu, o kartais jų apskritai niekas neatvyksta paimti iš viešbučio.</w:t>
      </w:r>
    </w:p>
    <w:p w14:paraId="1A591B04"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„Jeigu keliautojas ketina įsigyti ekskursiją ne iš kelionių organizatoriaus, rekomenduojame visų pirma išsiaiškinti, ar paslaugos tiekėjas turi turistų sveikatos draudimus, ar jo veikla yra licencijuota, ar gidas turi leidimus vykdyti šią veiklą“, – pataria I. Aukštuolytė.</w:t>
      </w:r>
    </w:p>
    <w:p w14:paraId="676E1F73"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Pramogos suplanuotos, o draudimo apsauga?</w:t>
      </w:r>
    </w:p>
    <w:p w14:paraId="06B9650F"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lastRenderedPageBreak/>
        <w:t>Patikimas ekskursijos organizatorius – dar ne visas pasiruošimas. Jei atostogų planuose numatytas nardymas, vandens sportas ar pasivažinėjimai keturračiais, verta žvilgtelėti ir į draudimo polisą. Mat ne visos aktyvios pramogos automatiškai patenka į įprastą kelionių draudimo apsaugą.</w:t>
      </w:r>
    </w:p>
    <w:p w14:paraId="1166A19B"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BTA draudimo duomenimis, pernai Egipte registruota beveik 100 su traumomis susijusių medicininių atvejų. Daliai keliautojų pakako gydytojo apžiūros, kitiems prireikė papildomų tyrimų ar ilgesnio gydymo.</w:t>
      </w:r>
    </w:p>
    <w:p w14:paraId="295270C8"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„Vien tai, kad pramoga siūloma viešbutyje ar yra populiari tarp turistų, dar nereiškia, kad ji patenka į pasirinktą draudimo apsaugą. Todėl dar prieš kelionę verta pasitikrinti, ar planuojamoms veikloms nereikalinga papildoma apsauga. Įvykus nelaimei apie tai galvoti jau gali būti per vėlu“, – pažymi G. </w:t>
      </w:r>
      <w:proofErr w:type="spellStart"/>
      <w:r w:rsidRPr="00A50D5D">
        <w:rPr>
          <w:rFonts w:cs="Calibri"/>
        </w:rPr>
        <w:t>Bulenokas</w:t>
      </w:r>
      <w:proofErr w:type="spellEnd"/>
      <w:r w:rsidRPr="00A50D5D">
        <w:rPr>
          <w:rFonts w:cs="Calibri"/>
        </w:rPr>
        <w:t>.</w:t>
      </w:r>
    </w:p>
    <w:p w14:paraId="5ABD6858"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Kai atostogas sugadina ne trauma, o vakarienė</w:t>
      </w:r>
    </w:p>
    <w:p w14:paraId="2F58E0F2"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Vis dėlto dažniau nei traumos Egipte keliautojus užklumpa gerokai kasdieniškesni negalavimai. BTA draudimo duomenimis, pernai registruota virš </w:t>
      </w:r>
      <w:r w:rsidRPr="00A50D5D">
        <w:rPr>
          <w:rFonts w:cs="Calibri"/>
          <w:lang w:val="en-GB"/>
        </w:rPr>
        <w:t>300</w:t>
      </w:r>
      <w:r w:rsidRPr="00A50D5D">
        <w:rPr>
          <w:rFonts w:cs="Calibri"/>
        </w:rPr>
        <w:t xml:space="preserve"> virškinimo sutrikimų ir apsinuodijimų maistu atvejų. Atostogų planus taip pat jaukė gerklės bei ausų skausmai, karščiavimas ir alerginės reakcijos.</w:t>
      </w:r>
    </w:p>
    <w:p w14:paraId="7FBA69BE"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Pasak G. </w:t>
      </w:r>
      <w:proofErr w:type="spellStart"/>
      <w:r w:rsidRPr="00A50D5D">
        <w:rPr>
          <w:rFonts w:cs="Calibri"/>
        </w:rPr>
        <w:t>Bulenoko</w:t>
      </w:r>
      <w:proofErr w:type="spellEnd"/>
      <w:r w:rsidRPr="00A50D5D">
        <w:rPr>
          <w:rFonts w:cs="Calibri"/>
        </w:rPr>
        <w:t>, šiltas klimatas, pasikeitusi mityba ir noras išragauti kuo daugiau vietinių patiekalų organizmui kartais tampa didesniu išbandymu nei tikimasi.</w:t>
      </w:r>
    </w:p>
    <w:p w14:paraId="2D77A951"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„Atostogaujant norisi viską išbandyti, tačiau organizmas ne visada spėja prisitaikyti prie pasikeitusių sąlygų. Todėl svarbu atsargiai rinktis maistą ir geriamąjį vandenį, o lagamine rasti vietos ir nedidelei vaistinėlei. Ypač reikėtų stebėti vaikų savijautą – dėl vėmimo ar viduriavimo jie gali greičiau netekti skysčių“, – primena BTA draudimo ekspertas.</w:t>
      </w:r>
    </w:p>
    <w:p w14:paraId="62A755AD"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Susirgus – ieškoti ligoninės ar pirmiausia pasitarti?</w:t>
      </w:r>
    </w:p>
    <w:p w14:paraId="488EB21A"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Staiga sunegalavus svetur nerimą kelia ne tik prasta savijauta, bet ir nežinomybė – ar dėl pilvo skausmo jau būtina vykti į ligoninę, ką daryti, jei simptomai nepraeina, o kaip viską paaiškinti gydytojui nepažįstama kalba?</w:t>
      </w:r>
    </w:p>
    <w:p w14:paraId="25536AA3"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Vis dėlto ne dėl kiekvieno negalavimo būtina iš karto ieškoti vietinės gydymo įstaigos – kartais pakanka nuotolinės gydytojo konsultacijos. BTA kelionių draudimo klientai gali naudotis „E-</w:t>
      </w:r>
      <w:proofErr w:type="spellStart"/>
      <w:r w:rsidRPr="00A50D5D">
        <w:rPr>
          <w:rFonts w:cs="Calibri"/>
        </w:rPr>
        <w:t>med</w:t>
      </w:r>
      <w:proofErr w:type="spellEnd"/>
      <w:r w:rsidRPr="00A50D5D">
        <w:rPr>
          <w:rFonts w:cs="Calibri"/>
        </w:rPr>
        <w:t>“ paslauga, kurią teikia bendrovės partnerė „</w:t>
      </w:r>
      <w:proofErr w:type="spellStart"/>
      <w:r w:rsidRPr="00A50D5D">
        <w:rPr>
          <w:rFonts w:cs="Calibri"/>
        </w:rPr>
        <w:t>Telesante</w:t>
      </w:r>
      <w:proofErr w:type="spellEnd"/>
      <w:r w:rsidRPr="00A50D5D">
        <w:rPr>
          <w:rFonts w:cs="Calibri"/>
        </w:rPr>
        <w:t>“. Jos gydytojai konsultuoja lietuvių kalba telefonu ar vaizdo skambučiu, tad pasitarti galima net neišvykus iš viešbučio.</w:t>
      </w:r>
    </w:p>
    <w:p w14:paraId="0C2EA4DE"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„Kartais keliautojui pakanka gydytojo patarimo, kad būtų aiškiau, kokių veiksmų imtis toliau. Nuotolinės konsultacijos metu galima aptarti simptomus ir įvertinti, ar reikalinga papildoma medicininė pagalba. Tačiau jei būklė sunki, delsti negalima – būtina nedelsiant kreiptis skubiosios medicinos pagalbos“, – sako G. </w:t>
      </w:r>
      <w:proofErr w:type="spellStart"/>
      <w:r w:rsidRPr="00A50D5D">
        <w:rPr>
          <w:rFonts w:cs="Calibri"/>
        </w:rPr>
        <w:t>Bulenokas</w:t>
      </w:r>
      <w:proofErr w:type="spellEnd"/>
      <w:r w:rsidRPr="00A50D5D">
        <w:rPr>
          <w:rFonts w:cs="Calibri"/>
        </w:rPr>
        <w:t>.</w:t>
      </w:r>
    </w:p>
    <w:p w14:paraId="74778E38" w14:textId="77777777" w:rsidR="00A50D5D" w:rsidRPr="00A50D5D" w:rsidRDefault="00A50D5D" w:rsidP="00A50D5D">
      <w:pPr>
        <w:pBdr>
          <w:top w:val="nil"/>
          <w:left w:val="nil"/>
          <w:bottom w:val="nil"/>
          <w:right w:val="nil"/>
          <w:between w:val="nil"/>
        </w:pBdr>
        <w:spacing w:before="160"/>
        <w:jc w:val="both"/>
        <w:rPr>
          <w:rFonts w:cs="Calibri"/>
          <w:b/>
          <w:bCs/>
        </w:rPr>
      </w:pPr>
      <w:r w:rsidRPr="00A50D5D">
        <w:rPr>
          <w:rFonts w:cs="Calibri"/>
          <w:b/>
          <w:bCs/>
        </w:rPr>
        <w:t>Gydymo sąskaita – dar vienas netikėtumas?</w:t>
      </w:r>
    </w:p>
    <w:p w14:paraId="2997F5AD"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Nors dauguma Egipte registruojamų medicininių žalų nėra itin didelės, BTA draudimo praktikoje pasitaiko ir gerokai brangesnių atvejų. Pavyzdžiui, pernai vienam keliautojui dėl stipraus galūnės audinių uždegimo prireikė gydymo, kurio sąskaita viršijo 8,</w:t>
      </w:r>
      <w:r w:rsidRPr="00A50D5D">
        <w:rPr>
          <w:rFonts w:cs="Calibri"/>
          <w:lang w:val="en-GB"/>
        </w:rPr>
        <w:t>2</w:t>
      </w:r>
      <w:r w:rsidRPr="00A50D5D">
        <w:rPr>
          <w:rFonts w:cs="Calibri"/>
        </w:rPr>
        <w:t xml:space="preserve"> tūkst. eurų.</w:t>
      </w:r>
    </w:p>
    <w:p w14:paraId="45B8C716"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Keliautojus kartais nustebina ne tik gydymo kaina, bet ir atsiskaitymo tvarka. Vienais atvejais už medicinos paslaugas atsiskaitoma tiesiogiai per draudimo bendrovės pagalbos partnerius, kitais išlaidas gali tekti pirmiausia padengti pačiam.</w:t>
      </w:r>
    </w:p>
    <w:p w14:paraId="5CBA7DA4" w14:textId="77777777" w:rsidR="00A50D5D" w:rsidRPr="00A50D5D" w:rsidRDefault="00A50D5D" w:rsidP="00A50D5D">
      <w:pPr>
        <w:pBdr>
          <w:top w:val="nil"/>
          <w:left w:val="nil"/>
          <w:bottom w:val="nil"/>
          <w:right w:val="nil"/>
          <w:between w:val="nil"/>
        </w:pBdr>
        <w:spacing w:before="160"/>
        <w:jc w:val="both"/>
        <w:rPr>
          <w:rFonts w:cs="Calibri"/>
        </w:rPr>
      </w:pPr>
      <w:r w:rsidRPr="00A50D5D">
        <w:rPr>
          <w:rFonts w:cs="Calibri"/>
        </w:rPr>
        <w:t xml:space="preserve">„Prieš išvykstant rekomenduojame išsisaugoti draudimo polise nurodytus pagalbos kontaktus ir pasidomėti kompensavimo tvarka. Prireikus gydymo svarbu išsaugoti gydytojų išrašus, sąskaitas bei </w:t>
      </w:r>
      <w:r w:rsidRPr="00A50D5D">
        <w:rPr>
          <w:rFonts w:cs="Calibri"/>
        </w:rPr>
        <w:lastRenderedPageBreak/>
        <w:t xml:space="preserve">mokėjimo kvitus, o jei situacija nėra skubi – pirmiausia susisiekti su draudimo bendrovės pagalbos partneriais. Taip žalos administravimas gali vykti gerokai sklandžiau“, – primena G. </w:t>
      </w:r>
      <w:proofErr w:type="spellStart"/>
      <w:r w:rsidRPr="00A50D5D">
        <w:rPr>
          <w:rFonts w:cs="Calibri"/>
        </w:rPr>
        <w:t>Bulenokas</w:t>
      </w:r>
      <w:proofErr w:type="spellEnd"/>
      <w:r w:rsidRPr="00A50D5D">
        <w:rPr>
          <w:rFonts w:cs="Calibri"/>
        </w:rPr>
        <w:t>.</w:t>
      </w:r>
    </w:p>
    <w:p w14:paraId="28E63586" w14:textId="77777777" w:rsidR="00705C24" w:rsidRPr="00705C24" w:rsidRDefault="00705C24" w:rsidP="00705C24">
      <w:pPr>
        <w:pBdr>
          <w:top w:val="nil"/>
          <w:left w:val="nil"/>
          <w:bottom w:val="nil"/>
          <w:right w:val="nil"/>
          <w:between w:val="nil"/>
        </w:pBdr>
        <w:spacing w:before="160"/>
        <w:jc w:val="both"/>
        <w:rPr>
          <w:bCs/>
        </w:rPr>
      </w:pPr>
    </w:p>
    <w:p w14:paraId="22A02149" w14:textId="77777777" w:rsidR="00262FC0" w:rsidRPr="00BF4410" w:rsidRDefault="00262FC0" w:rsidP="001921A5">
      <w:pPr>
        <w:spacing w:line="276" w:lineRule="auto"/>
        <w:contextualSpacing/>
        <w:rPr>
          <w:rFonts w:ascii="Tahoma" w:hAnsi="Tahoma" w:cs="Tahoma"/>
        </w:rPr>
      </w:pPr>
    </w:p>
    <w:sectPr w:rsidR="00262FC0" w:rsidRPr="00BF4410" w:rsidSect="005A742D">
      <w:headerReference w:type="default" r:id="rId11"/>
      <w:headerReference w:type="first" r:id="rId12"/>
      <w:footerReference w:type="first" r:id="rId13"/>
      <w:pgSz w:w="11906" w:h="16838"/>
      <w:pgMar w:top="1134" w:right="1133"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65D9" w14:textId="77777777" w:rsidR="007116F7" w:rsidRDefault="007116F7" w:rsidP="00C409F0">
      <w:pPr>
        <w:spacing w:after="0" w:line="240" w:lineRule="auto"/>
      </w:pPr>
      <w:r>
        <w:separator/>
      </w:r>
    </w:p>
  </w:endnote>
  <w:endnote w:type="continuationSeparator" w:id="0">
    <w:p w14:paraId="1BFA57E4" w14:textId="77777777" w:rsidR="007116F7" w:rsidRDefault="007116F7" w:rsidP="00C40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E870" w14:textId="141EBEC9" w:rsidR="00D01D83" w:rsidRDefault="00BF1F0E">
    <w:pPr>
      <w:pStyle w:val="Footer"/>
      <w:rPr>
        <w:noProof/>
        <w:lang w:eastAsia="lt-LT"/>
      </w:rPr>
    </w:pPr>
    <w:r>
      <w:rPr>
        <w:noProof/>
      </w:rPr>
      <w:drawing>
        <wp:anchor distT="0" distB="0" distL="114300" distR="114300" simplePos="0" relativeHeight="251658240" behindDoc="1" locked="0" layoutInCell="1" allowOverlap="1" wp14:anchorId="1D1B5452" wp14:editId="166DFA0F">
          <wp:simplePos x="0" y="0"/>
          <wp:positionH relativeFrom="page">
            <wp:posOffset>-102870</wp:posOffset>
          </wp:positionH>
          <wp:positionV relativeFrom="page">
            <wp:posOffset>10172700</wp:posOffset>
          </wp:positionV>
          <wp:extent cx="7543800" cy="751840"/>
          <wp:effectExtent l="0" t="0" r="0" b="0"/>
          <wp:wrapNone/>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1DE9D" w14:textId="77777777" w:rsidR="001921A5" w:rsidRDefault="00192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9E3D" w14:textId="77777777" w:rsidR="007116F7" w:rsidRDefault="007116F7" w:rsidP="00C409F0">
      <w:pPr>
        <w:spacing w:after="0" w:line="240" w:lineRule="auto"/>
      </w:pPr>
      <w:r>
        <w:separator/>
      </w:r>
    </w:p>
  </w:footnote>
  <w:footnote w:type="continuationSeparator" w:id="0">
    <w:p w14:paraId="17991619" w14:textId="77777777" w:rsidR="007116F7" w:rsidRDefault="007116F7" w:rsidP="00C40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654D" w14:textId="77777777" w:rsidR="00C409F0" w:rsidRDefault="00C409F0" w:rsidP="000B3AF5">
    <w:pPr>
      <w:pStyle w:val="Header"/>
      <w:tabs>
        <w:tab w:val="clear" w:pos="9638"/>
        <w:tab w:val="right" w:pos="9072"/>
      </w:tabs>
      <w:ind w:right="70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D137" w14:textId="5A114BFA" w:rsidR="00D01D83" w:rsidRDefault="00BF1F0E">
    <w:pPr>
      <w:pStyle w:val="Header"/>
    </w:pPr>
    <w:r>
      <w:rPr>
        <w:noProof/>
      </w:rPr>
      <w:drawing>
        <wp:anchor distT="0" distB="0" distL="114300" distR="114300" simplePos="0" relativeHeight="251657216" behindDoc="1" locked="0" layoutInCell="1" allowOverlap="1" wp14:anchorId="292F7800" wp14:editId="1B4C52CD">
          <wp:simplePos x="0" y="0"/>
          <wp:positionH relativeFrom="column">
            <wp:posOffset>-1188085</wp:posOffset>
          </wp:positionH>
          <wp:positionV relativeFrom="paragraph">
            <wp:posOffset>-467995</wp:posOffset>
          </wp:positionV>
          <wp:extent cx="7764145" cy="14668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14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0AC4"/>
    <w:multiLevelType w:val="hybridMultilevel"/>
    <w:tmpl w:val="9652490C"/>
    <w:lvl w:ilvl="0" w:tplc="A3CC743C">
      <w:start w:val="1"/>
      <w:numFmt w:val="decimal"/>
      <w:lvlText w:val="%1."/>
      <w:lvlJc w:val="left"/>
      <w:pPr>
        <w:ind w:left="1494" w:hanging="360"/>
      </w:pPr>
      <w:rPr>
        <w:rFonts w:hint="default"/>
        <w:b/>
        <w:u w:val="none"/>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0B270E64"/>
    <w:multiLevelType w:val="hybridMultilevel"/>
    <w:tmpl w:val="000284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A77754"/>
    <w:multiLevelType w:val="hybridMultilevel"/>
    <w:tmpl w:val="646045FA"/>
    <w:lvl w:ilvl="0" w:tplc="FF8A0B6C">
      <w:start w:val="1"/>
      <w:numFmt w:val="lowerLetter"/>
      <w:lvlText w:val="%1)"/>
      <w:lvlJc w:val="left"/>
      <w:pPr>
        <w:ind w:left="720" w:hanging="360"/>
      </w:pPr>
      <w:rPr>
        <w:rFonts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447AD7"/>
    <w:multiLevelType w:val="hybridMultilevel"/>
    <w:tmpl w:val="5574C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E7A5F"/>
    <w:multiLevelType w:val="hybridMultilevel"/>
    <w:tmpl w:val="E67249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B6975AD"/>
    <w:multiLevelType w:val="hybridMultilevel"/>
    <w:tmpl w:val="D236FE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22A759D"/>
    <w:multiLevelType w:val="hybridMultilevel"/>
    <w:tmpl w:val="EB5253FC"/>
    <w:lvl w:ilvl="0" w:tplc="5E5EBF7E">
      <w:start w:val="1"/>
      <w:numFmt w:val="decimal"/>
      <w:lvlText w:val="%1."/>
      <w:lvlJc w:val="left"/>
      <w:pPr>
        <w:ind w:left="502" w:hanging="360"/>
      </w:pPr>
      <w:rPr>
        <w:b w:val="0"/>
        <w:color w:val="auto"/>
        <w:sz w:val="22"/>
        <w:szCs w:val="22"/>
      </w:rPr>
    </w:lvl>
    <w:lvl w:ilvl="1" w:tplc="04270019">
      <w:start w:val="1"/>
      <w:numFmt w:val="lowerLetter"/>
      <w:lvlText w:val="%2."/>
      <w:lvlJc w:val="left"/>
      <w:pPr>
        <w:ind w:left="447" w:hanging="360"/>
      </w:pPr>
    </w:lvl>
    <w:lvl w:ilvl="2" w:tplc="0427001B" w:tentative="1">
      <w:start w:val="1"/>
      <w:numFmt w:val="lowerRoman"/>
      <w:lvlText w:val="%3."/>
      <w:lvlJc w:val="right"/>
      <w:pPr>
        <w:ind w:left="1167" w:hanging="180"/>
      </w:pPr>
    </w:lvl>
    <w:lvl w:ilvl="3" w:tplc="0427000F" w:tentative="1">
      <w:start w:val="1"/>
      <w:numFmt w:val="decimal"/>
      <w:lvlText w:val="%4."/>
      <w:lvlJc w:val="left"/>
      <w:pPr>
        <w:ind w:left="1887" w:hanging="360"/>
      </w:pPr>
    </w:lvl>
    <w:lvl w:ilvl="4" w:tplc="04270019" w:tentative="1">
      <w:start w:val="1"/>
      <w:numFmt w:val="lowerLetter"/>
      <w:lvlText w:val="%5."/>
      <w:lvlJc w:val="left"/>
      <w:pPr>
        <w:ind w:left="2607" w:hanging="360"/>
      </w:pPr>
    </w:lvl>
    <w:lvl w:ilvl="5" w:tplc="0427001B" w:tentative="1">
      <w:start w:val="1"/>
      <w:numFmt w:val="lowerRoman"/>
      <w:lvlText w:val="%6."/>
      <w:lvlJc w:val="right"/>
      <w:pPr>
        <w:ind w:left="3327" w:hanging="180"/>
      </w:pPr>
    </w:lvl>
    <w:lvl w:ilvl="6" w:tplc="0427000F" w:tentative="1">
      <w:start w:val="1"/>
      <w:numFmt w:val="decimal"/>
      <w:lvlText w:val="%7."/>
      <w:lvlJc w:val="left"/>
      <w:pPr>
        <w:ind w:left="4047" w:hanging="360"/>
      </w:pPr>
    </w:lvl>
    <w:lvl w:ilvl="7" w:tplc="04270019" w:tentative="1">
      <w:start w:val="1"/>
      <w:numFmt w:val="lowerLetter"/>
      <w:lvlText w:val="%8."/>
      <w:lvlJc w:val="left"/>
      <w:pPr>
        <w:ind w:left="4767" w:hanging="360"/>
      </w:pPr>
    </w:lvl>
    <w:lvl w:ilvl="8" w:tplc="0427001B" w:tentative="1">
      <w:start w:val="1"/>
      <w:numFmt w:val="lowerRoman"/>
      <w:lvlText w:val="%9."/>
      <w:lvlJc w:val="right"/>
      <w:pPr>
        <w:ind w:left="5487" w:hanging="180"/>
      </w:pPr>
    </w:lvl>
  </w:abstractNum>
  <w:abstractNum w:abstractNumId="7" w15:restartNumberingAfterBreak="0">
    <w:nsid w:val="449D0A54"/>
    <w:multiLevelType w:val="hybridMultilevel"/>
    <w:tmpl w:val="7A28BB4E"/>
    <w:lvl w:ilvl="0" w:tplc="0E5892E0">
      <w:start w:val="1"/>
      <w:numFmt w:val="lowerLetter"/>
      <w:lvlText w:val="%1)"/>
      <w:lvlJc w:val="left"/>
      <w:pPr>
        <w:ind w:left="720" w:hanging="360"/>
      </w:pPr>
      <w:rPr>
        <w:rFonts w:ascii="Tahoma" w:hAnsi="Tahoma" w:cs="Tahoma"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5411577"/>
    <w:multiLevelType w:val="multilevel"/>
    <w:tmpl w:val="0E1EEF70"/>
    <w:lvl w:ilvl="0">
      <w:start w:val="1"/>
      <w:numFmt w:val="decimal"/>
      <w:lvlText w:val="%1."/>
      <w:lvlJc w:val="left"/>
      <w:pPr>
        <w:ind w:left="1069" w:hanging="360"/>
      </w:pPr>
      <w:rPr>
        <w:rFonts w:hint="default"/>
        <w:b w:val="0"/>
        <w:bCs w:val="0"/>
      </w:rPr>
    </w:lvl>
    <w:lvl w:ilvl="1">
      <w:start w:val="1"/>
      <w:numFmt w:val="decimal"/>
      <w:isLgl/>
      <w:lvlText w:val="%1.%2."/>
      <w:lvlJc w:val="left"/>
      <w:pPr>
        <w:ind w:left="1789" w:hanging="720"/>
      </w:pPr>
      <w:rPr>
        <w:rFonts w:hint="default"/>
      </w:rPr>
    </w:lvl>
    <w:lvl w:ilvl="2">
      <w:start w:val="1"/>
      <w:numFmt w:val="decimalZero"/>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589" w:hanging="144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389" w:hanging="2160"/>
      </w:pPr>
      <w:rPr>
        <w:rFonts w:hint="default"/>
      </w:rPr>
    </w:lvl>
    <w:lvl w:ilvl="8">
      <w:start w:val="1"/>
      <w:numFmt w:val="decimal"/>
      <w:isLgl/>
      <w:lvlText w:val="%1.%2.%3.%4.%5.%6.%7.%8.%9."/>
      <w:lvlJc w:val="left"/>
      <w:pPr>
        <w:ind w:left="5749" w:hanging="2160"/>
      </w:pPr>
      <w:rPr>
        <w:rFonts w:hint="default"/>
      </w:rPr>
    </w:lvl>
  </w:abstractNum>
  <w:abstractNum w:abstractNumId="9" w15:restartNumberingAfterBreak="0">
    <w:nsid w:val="47CA51B9"/>
    <w:multiLevelType w:val="hybridMultilevel"/>
    <w:tmpl w:val="2ED2BD50"/>
    <w:lvl w:ilvl="0" w:tplc="F628E9F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4B9972A9"/>
    <w:multiLevelType w:val="multilevel"/>
    <w:tmpl w:val="138C2FE2"/>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FF2350"/>
    <w:multiLevelType w:val="hybridMultilevel"/>
    <w:tmpl w:val="BBF67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6D442A"/>
    <w:multiLevelType w:val="hybridMultilevel"/>
    <w:tmpl w:val="A21E05E2"/>
    <w:lvl w:ilvl="0" w:tplc="F530C154">
      <w:start w:val="1"/>
      <w:numFmt w:val="decimal"/>
      <w:lvlText w:val="%1."/>
      <w:lvlJc w:val="left"/>
      <w:pPr>
        <w:ind w:left="720" w:hanging="360"/>
      </w:pPr>
      <w:rPr>
        <w:rFonts w:ascii="Tahoma" w:hAnsi="Tahoma" w:cs="Tahoma" w:hint="default"/>
        <w:b/>
        <w:i w:val="0"/>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13" w15:restartNumberingAfterBreak="0">
    <w:nsid w:val="7AB077D9"/>
    <w:multiLevelType w:val="hybridMultilevel"/>
    <w:tmpl w:val="04E04574"/>
    <w:lvl w:ilvl="0" w:tplc="FE3AC510">
      <w:start w:val="1"/>
      <w:numFmt w:val="lowerLetter"/>
      <w:lvlText w:val="%1)"/>
      <w:lvlJc w:val="left"/>
      <w:pPr>
        <w:ind w:left="720" w:hanging="360"/>
      </w:pPr>
      <w:rPr>
        <w:rFonts w:hint="default"/>
        <w:color w:val="000000"/>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DCE2A03"/>
    <w:multiLevelType w:val="hybridMultilevel"/>
    <w:tmpl w:val="9354A4A0"/>
    <w:lvl w:ilvl="0" w:tplc="3A508CD4">
      <w:start w:val="1"/>
      <w:numFmt w:val="lowerLetter"/>
      <w:lvlText w:val="%1)"/>
      <w:lvlJc w:val="left"/>
      <w:pPr>
        <w:ind w:left="720" w:hanging="360"/>
      </w:pPr>
      <w:rPr>
        <w:rFonts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47209198">
    <w:abstractNumId w:val="8"/>
  </w:num>
  <w:num w:numId="2" w16cid:durableId="1346395482">
    <w:abstractNumId w:val="9"/>
  </w:num>
  <w:num w:numId="3" w16cid:durableId="257834006">
    <w:abstractNumId w:val="10"/>
  </w:num>
  <w:num w:numId="4" w16cid:durableId="1200044107">
    <w:abstractNumId w:val="6"/>
  </w:num>
  <w:num w:numId="5" w16cid:durableId="1421371415">
    <w:abstractNumId w:val="0"/>
  </w:num>
  <w:num w:numId="6" w16cid:durableId="86081499">
    <w:abstractNumId w:val="4"/>
  </w:num>
  <w:num w:numId="7" w16cid:durableId="1295721968">
    <w:abstractNumId w:val="5"/>
  </w:num>
  <w:num w:numId="8" w16cid:durableId="7989603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52314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7302626">
    <w:abstractNumId w:val="7"/>
  </w:num>
  <w:num w:numId="11" w16cid:durableId="1988171235">
    <w:abstractNumId w:val="2"/>
  </w:num>
  <w:num w:numId="12" w16cid:durableId="1378319056">
    <w:abstractNumId w:val="13"/>
  </w:num>
  <w:num w:numId="13" w16cid:durableId="1521552815">
    <w:abstractNumId w:val="14"/>
  </w:num>
  <w:num w:numId="14" w16cid:durableId="583800176">
    <w:abstractNumId w:val="3"/>
  </w:num>
  <w:num w:numId="15" w16cid:durableId="530532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9F0"/>
    <w:rsid w:val="00031A01"/>
    <w:rsid w:val="00042993"/>
    <w:rsid w:val="0005488A"/>
    <w:rsid w:val="00082BF0"/>
    <w:rsid w:val="000833CD"/>
    <w:rsid w:val="0008364B"/>
    <w:rsid w:val="000967F0"/>
    <w:rsid w:val="000B3AF5"/>
    <w:rsid w:val="000B52FE"/>
    <w:rsid w:val="000E2416"/>
    <w:rsid w:val="000E4CD9"/>
    <w:rsid w:val="000F3ED0"/>
    <w:rsid w:val="00104A09"/>
    <w:rsid w:val="00107A70"/>
    <w:rsid w:val="00115058"/>
    <w:rsid w:val="00137897"/>
    <w:rsid w:val="00145ADA"/>
    <w:rsid w:val="00150B73"/>
    <w:rsid w:val="00150CF4"/>
    <w:rsid w:val="00163459"/>
    <w:rsid w:val="001643C7"/>
    <w:rsid w:val="00173D0A"/>
    <w:rsid w:val="001921A5"/>
    <w:rsid w:val="001C45A1"/>
    <w:rsid w:val="001D1B6D"/>
    <w:rsid w:val="001E03F2"/>
    <w:rsid w:val="001F1460"/>
    <w:rsid w:val="00204153"/>
    <w:rsid w:val="00212EF6"/>
    <w:rsid w:val="002132E5"/>
    <w:rsid w:val="0023427D"/>
    <w:rsid w:val="002378F5"/>
    <w:rsid w:val="00262FC0"/>
    <w:rsid w:val="00263BBD"/>
    <w:rsid w:val="00266681"/>
    <w:rsid w:val="00271028"/>
    <w:rsid w:val="00293C7B"/>
    <w:rsid w:val="002A36B7"/>
    <w:rsid w:val="002A4044"/>
    <w:rsid w:val="002C29BD"/>
    <w:rsid w:val="002E25F9"/>
    <w:rsid w:val="00303F7E"/>
    <w:rsid w:val="00321F46"/>
    <w:rsid w:val="00331F1A"/>
    <w:rsid w:val="0035102D"/>
    <w:rsid w:val="00364C13"/>
    <w:rsid w:val="003677F0"/>
    <w:rsid w:val="00397DE3"/>
    <w:rsid w:val="003A1B37"/>
    <w:rsid w:val="003B29BF"/>
    <w:rsid w:val="003C58D7"/>
    <w:rsid w:val="003D4BC3"/>
    <w:rsid w:val="004051FA"/>
    <w:rsid w:val="00406C51"/>
    <w:rsid w:val="00413E5D"/>
    <w:rsid w:val="00416F95"/>
    <w:rsid w:val="00416FD9"/>
    <w:rsid w:val="00426003"/>
    <w:rsid w:val="00433480"/>
    <w:rsid w:val="004518F0"/>
    <w:rsid w:val="00463ADF"/>
    <w:rsid w:val="00481212"/>
    <w:rsid w:val="0048694B"/>
    <w:rsid w:val="004A218E"/>
    <w:rsid w:val="004D5FDB"/>
    <w:rsid w:val="004F3DEB"/>
    <w:rsid w:val="0050468F"/>
    <w:rsid w:val="005350F6"/>
    <w:rsid w:val="0053687C"/>
    <w:rsid w:val="00540E2C"/>
    <w:rsid w:val="00550808"/>
    <w:rsid w:val="005643E8"/>
    <w:rsid w:val="0056441E"/>
    <w:rsid w:val="0057121F"/>
    <w:rsid w:val="005724C7"/>
    <w:rsid w:val="005808E4"/>
    <w:rsid w:val="005A742D"/>
    <w:rsid w:val="005B6E20"/>
    <w:rsid w:val="005C4C39"/>
    <w:rsid w:val="005D7DC5"/>
    <w:rsid w:val="005E45AB"/>
    <w:rsid w:val="006005E0"/>
    <w:rsid w:val="00634044"/>
    <w:rsid w:val="0064365E"/>
    <w:rsid w:val="006467E2"/>
    <w:rsid w:val="00650C37"/>
    <w:rsid w:val="00662C25"/>
    <w:rsid w:val="00676936"/>
    <w:rsid w:val="006776C9"/>
    <w:rsid w:val="006821E2"/>
    <w:rsid w:val="00682DD3"/>
    <w:rsid w:val="0068776B"/>
    <w:rsid w:val="006B581C"/>
    <w:rsid w:val="006C6568"/>
    <w:rsid w:val="006D411B"/>
    <w:rsid w:val="006E7893"/>
    <w:rsid w:val="00705C24"/>
    <w:rsid w:val="00707145"/>
    <w:rsid w:val="00710E6E"/>
    <w:rsid w:val="007116F7"/>
    <w:rsid w:val="00732F79"/>
    <w:rsid w:val="007359B5"/>
    <w:rsid w:val="0074474B"/>
    <w:rsid w:val="0074487E"/>
    <w:rsid w:val="00751A43"/>
    <w:rsid w:val="007772C5"/>
    <w:rsid w:val="007A3901"/>
    <w:rsid w:val="007A6E28"/>
    <w:rsid w:val="007C709D"/>
    <w:rsid w:val="007D6204"/>
    <w:rsid w:val="007E090D"/>
    <w:rsid w:val="0081017A"/>
    <w:rsid w:val="00842358"/>
    <w:rsid w:val="008648B5"/>
    <w:rsid w:val="00865909"/>
    <w:rsid w:val="00874D28"/>
    <w:rsid w:val="00886257"/>
    <w:rsid w:val="00891F3F"/>
    <w:rsid w:val="008B1927"/>
    <w:rsid w:val="008B4ECA"/>
    <w:rsid w:val="008C54E2"/>
    <w:rsid w:val="008C751E"/>
    <w:rsid w:val="008C7AE3"/>
    <w:rsid w:val="008D1AF0"/>
    <w:rsid w:val="008F3F9E"/>
    <w:rsid w:val="008F6AA0"/>
    <w:rsid w:val="00912917"/>
    <w:rsid w:val="00927B6B"/>
    <w:rsid w:val="0094174C"/>
    <w:rsid w:val="0095221C"/>
    <w:rsid w:val="00953BA6"/>
    <w:rsid w:val="00960EC2"/>
    <w:rsid w:val="00970B4F"/>
    <w:rsid w:val="00973F99"/>
    <w:rsid w:val="009771DA"/>
    <w:rsid w:val="009939CA"/>
    <w:rsid w:val="009A7721"/>
    <w:rsid w:val="009B61DF"/>
    <w:rsid w:val="009D0A74"/>
    <w:rsid w:val="009D4529"/>
    <w:rsid w:val="009D6881"/>
    <w:rsid w:val="009F1BFF"/>
    <w:rsid w:val="00A15DC4"/>
    <w:rsid w:val="00A43360"/>
    <w:rsid w:val="00A508A0"/>
    <w:rsid w:val="00A50D5D"/>
    <w:rsid w:val="00A60DF1"/>
    <w:rsid w:val="00A73754"/>
    <w:rsid w:val="00A83AE1"/>
    <w:rsid w:val="00AA1095"/>
    <w:rsid w:val="00AA15CF"/>
    <w:rsid w:val="00AA5F74"/>
    <w:rsid w:val="00AB46EC"/>
    <w:rsid w:val="00AE11CF"/>
    <w:rsid w:val="00AE4DAB"/>
    <w:rsid w:val="00AE7F77"/>
    <w:rsid w:val="00B016FF"/>
    <w:rsid w:val="00B01EFA"/>
    <w:rsid w:val="00B058CC"/>
    <w:rsid w:val="00B0736F"/>
    <w:rsid w:val="00B26611"/>
    <w:rsid w:val="00B34482"/>
    <w:rsid w:val="00B34B4F"/>
    <w:rsid w:val="00B4273F"/>
    <w:rsid w:val="00B42E56"/>
    <w:rsid w:val="00B523F2"/>
    <w:rsid w:val="00B53CFB"/>
    <w:rsid w:val="00B57011"/>
    <w:rsid w:val="00B57899"/>
    <w:rsid w:val="00B6058B"/>
    <w:rsid w:val="00B61E49"/>
    <w:rsid w:val="00B63B43"/>
    <w:rsid w:val="00B64331"/>
    <w:rsid w:val="00B70233"/>
    <w:rsid w:val="00B871DE"/>
    <w:rsid w:val="00B97528"/>
    <w:rsid w:val="00BA006A"/>
    <w:rsid w:val="00BA2A1C"/>
    <w:rsid w:val="00BA6B81"/>
    <w:rsid w:val="00BA7896"/>
    <w:rsid w:val="00BB15B4"/>
    <w:rsid w:val="00BB6716"/>
    <w:rsid w:val="00BC1A15"/>
    <w:rsid w:val="00BD4C6F"/>
    <w:rsid w:val="00BF1F0E"/>
    <w:rsid w:val="00BF4410"/>
    <w:rsid w:val="00BF5CC3"/>
    <w:rsid w:val="00BF60DC"/>
    <w:rsid w:val="00BF62B6"/>
    <w:rsid w:val="00C0064E"/>
    <w:rsid w:val="00C03EA0"/>
    <w:rsid w:val="00C0785E"/>
    <w:rsid w:val="00C20BFA"/>
    <w:rsid w:val="00C235E4"/>
    <w:rsid w:val="00C25E5C"/>
    <w:rsid w:val="00C36E9E"/>
    <w:rsid w:val="00C409F0"/>
    <w:rsid w:val="00C51F42"/>
    <w:rsid w:val="00C72E3B"/>
    <w:rsid w:val="00C74876"/>
    <w:rsid w:val="00C75F81"/>
    <w:rsid w:val="00C82CF7"/>
    <w:rsid w:val="00C8320E"/>
    <w:rsid w:val="00CA68B4"/>
    <w:rsid w:val="00CB3658"/>
    <w:rsid w:val="00CB4329"/>
    <w:rsid w:val="00CE04F9"/>
    <w:rsid w:val="00CE3D21"/>
    <w:rsid w:val="00CE645C"/>
    <w:rsid w:val="00CE79B8"/>
    <w:rsid w:val="00D01D83"/>
    <w:rsid w:val="00D15B33"/>
    <w:rsid w:val="00D2767E"/>
    <w:rsid w:val="00D31DB1"/>
    <w:rsid w:val="00D454EA"/>
    <w:rsid w:val="00D50DCB"/>
    <w:rsid w:val="00D5200F"/>
    <w:rsid w:val="00D54952"/>
    <w:rsid w:val="00D5522D"/>
    <w:rsid w:val="00D60516"/>
    <w:rsid w:val="00D66841"/>
    <w:rsid w:val="00D75DAF"/>
    <w:rsid w:val="00D8440E"/>
    <w:rsid w:val="00D90090"/>
    <w:rsid w:val="00D90EDA"/>
    <w:rsid w:val="00D9645A"/>
    <w:rsid w:val="00DC3BDB"/>
    <w:rsid w:val="00DF52C9"/>
    <w:rsid w:val="00E01434"/>
    <w:rsid w:val="00E03752"/>
    <w:rsid w:val="00E0644F"/>
    <w:rsid w:val="00E31A6E"/>
    <w:rsid w:val="00E31BE8"/>
    <w:rsid w:val="00E404DF"/>
    <w:rsid w:val="00E43461"/>
    <w:rsid w:val="00E56AC0"/>
    <w:rsid w:val="00E60D85"/>
    <w:rsid w:val="00E6695D"/>
    <w:rsid w:val="00E822D7"/>
    <w:rsid w:val="00E828C5"/>
    <w:rsid w:val="00E92E38"/>
    <w:rsid w:val="00EB08F7"/>
    <w:rsid w:val="00EB18FD"/>
    <w:rsid w:val="00EC1EF2"/>
    <w:rsid w:val="00EE1C53"/>
    <w:rsid w:val="00EE2FB5"/>
    <w:rsid w:val="00EF32F6"/>
    <w:rsid w:val="00EF3ACA"/>
    <w:rsid w:val="00EF6654"/>
    <w:rsid w:val="00F04CE3"/>
    <w:rsid w:val="00F2053A"/>
    <w:rsid w:val="00F26A6F"/>
    <w:rsid w:val="00F34185"/>
    <w:rsid w:val="00F476B3"/>
    <w:rsid w:val="00F50994"/>
    <w:rsid w:val="00F552C9"/>
    <w:rsid w:val="00F67A1E"/>
    <w:rsid w:val="00F75F99"/>
    <w:rsid w:val="00F84395"/>
    <w:rsid w:val="00F92FCF"/>
    <w:rsid w:val="00F94239"/>
    <w:rsid w:val="00FA1940"/>
    <w:rsid w:val="00FA731F"/>
    <w:rsid w:val="00FB0935"/>
    <w:rsid w:val="00FB17BC"/>
    <w:rsid w:val="00FB2342"/>
    <w:rsid w:val="00FD1D94"/>
    <w:rsid w:val="00FD5D83"/>
    <w:rsid w:val="00FE64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6B0C2"/>
  <w15:docId w15:val="{2A2B3E39-E587-426B-8070-BDBDA9A7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9F0"/>
    <w:pPr>
      <w:tabs>
        <w:tab w:val="center" w:pos="4819"/>
        <w:tab w:val="right" w:pos="9638"/>
      </w:tabs>
      <w:spacing w:after="0" w:line="240" w:lineRule="auto"/>
    </w:pPr>
  </w:style>
  <w:style w:type="character" w:customStyle="1" w:styleId="HeaderChar">
    <w:name w:val="Header Char"/>
    <w:basedOn w:val="DefaultParagraphFont"/>
    <w:link w:val="Header"/>
    <w:uiPriority w:val="99"/>
    <w:rsid w:val="00C409F0"/>
  </w:style>
  <w:style w:type="paragraph" w:styleId="Footer">
    <w:name w:val="footer"/>
    <w:basedOn w:val="Normal"/>
    <w:link w:val="FooterChar"/>
    <w:uiPriority w:val="99"/>
    <w:unhideWhenUsed/>
    <w:rsid w:val="00C409F0"/>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09F0"/>
  </w:style>
  <w:style w:type="paragraph" w:styleId="BalloonText">
    <w:name w:val="Balloon Text"/>
    <w:basedOn w:val="Normal"/>
    <w:link w:val="BalloonTextChar"/>
    <w:uiPriority w:val="99"/>
    <w:semiHidden/>
    <w:unhideWhenUsed/>
    <w:rsid w:val="00E31A6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31A6E"/>
    <w:rPr>
      <w:rFonts w:ascii="Segoe UI" w:hAnsi="Segoe UI" w:cs="Segoe UI"/>
      <w:sz w:val="18"/>
      <w:szCs w:val="18"/>
      <w:lang w:eastAsia="en-US"/>
    </w:rPr>
  </w:style>
  <w:style w:type="paragraph" w:styleId="ListParagraph">
    <w:name w:val="List Paragraph"/>
    <w:basedOn w:val="Normal"/>
    <w:uiPriority w:val="34"/>
    <w:qFormat/>
    <w:rsid w:val="00AE4DAB"/>
    <w:pPr>
      <w:spacing w:after="0" w:line="240" w:lineRule="auto"/>
      <w:ind w:left="720"/>
    </w:pPr>
    <w:rPr>
      <w:rFonts w:ascii="Tahoma" w:hAnsi="Tahoma" w:cs="Tahoma"/>
      <w:color w:val="000000"/>
      <w:sz w:val="20"/>
      <w:szCs w:val="20"/>
      <w:lang w:eastAsia="lt-LT"/>
    </w:rPr>
  </w:style>
  <w:style w:type="paragraph" w:styleId="BodyText">
    <w:name w:val="Body Text"/>
    <w:basedOn w:val="Normal"/>
    <w:link w:val="BodyTextChar"/>
    <w:uiPriority w:val="99"/>
    <w:unhideWhenUsed/>
    <w:rsid w:val="00B64331"/>
    <w:pPr>
      <w:spacing w:after="120"/>
    </w:pPr>
  </w:style>
  <w:style w:type="character" w:customStyle="1" w:styleId="BodyTextChar">
    <w:name w:val="Body Text Char"/>
    <w:link w:val="BodyText"/>
    <w:uiPriority w:val="99"/>
    <w:rsid w:val="00B64331"/>
    <w:rPr>
      <w:sz w:val="22"/>
      <w:szCs w:val="22"/>
      <w:lang w:eastAsia="en-US"/>
    </w:rPr>
  </w:style>
  <w:style w:type="paragraph" w:customStyle="1" w:styleId="naislab">
    <w:name w:val="naislab"/>
    <w:basedOn w:val="Normal"/>
    <w:rsid w:val="0057121F"/>
    <w:pPr>
      <w:snapToGrid w:val="0"/>
      <w:spacing w:before="75" w:after="75" w:line="240" w:lineRule="auto"/>
      <w:jc w:val="right"/>
    </w:pPr>
    <w:rPr>
      <w:rFonts w:ascii="Times New Roman" w:eastAsia="Times New Roman" w:hAnsi="Times New Roman"/>
      <w:sz w:val="24"/>
      <w:szCs w:val="24"/>
      <w:lang w:val="lv-LV" w:eastAsia="lv-LV"/>
    </w:rPr>
  </w:style>
  <w:style w:type="character" w:customStyle="1" w:styleId="hps">
    <w:name w:val="hps"/>
    <w:rsid w:val="0057121F"/>
  </w:style>
  <w:style w:type="table" w:styleId="TableGrid">
    <w:name w:val="Table Grid"/>
    <w:basedOn w:val="TableNormal"/>
    <w:uiPriority w:val="39"/>
    <w:rsid w:val="00D84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8440E"/>
    <w:rPr>
      <w:color w:val="0563C1"/>
      <w:u w:val="single"/>
    </w:rPr>
  </w:style>
  <w:style w:type="paragraph" w:customStyle="1" w:styleId="xxmsonormal">
    <w:name w:val="x_xmsonormal"/>
    <w:basedOn w:val="Normal"/>
    <w:rsid w:val="001921A5"/>
    <w:pPr>
      <w:spacing w:after="0" w:line="240" w:lineRule="auto"/>
    </w:pPr>
    <w:rPr>
      <w:rFonts w:cs="Calibri"/>
      <w:lang w:eastAsia="lt-LT"/>
    </w:rPr>
  </w:style>
  <w:style w:type="character" w:styleId="Strong">
    <w:name w:val="Strong"/>
    <w:uiPriority w:val="22"/>
    <w:qFormat/>
    <w:rsid w:val="00D9645A"/>
    <w:rPr>
      <w:b/>
      <w:bCs/>
    </w:rPr>
  </w:style>
  <w:style w:type="character" w:styleId="UnresolvedMention">
    <w:name w:val="Unresolved Mention"/>
    <w:uiPriority w:val="99"/>
    <w:semiHidden/>
    <w:unhideWhenUsed/>
    <w:rsid w:val="00535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7027">
      <w:bodyDiv w:val="1"/>
      <w:marLeft w:val="0"/>
      <w:marRight w:val="0"/>
      <w:marTop w:val="0"/>
      <w:marBottom w:val="0"/>
      <w:divBdr>
        <w:top w:val="none" w:sz="0" w:space="0" w:color="auto"/>
        <w:left w:val="none" w:sz="0" w:space="0" w:color="auto"/>
        <w:bottom w:val="none" w:sz="0" w:space="0" w:color="auto"/>
        <w:right w:val="none" w:sz="0" w:space="0" w:color="auto"/>
      </w:divBdr>
      <w:divsChild>
        <w:div w:id="695959205">
          <w:marLeft w:val="0"/>
          <w:marRight w:val="0"/>
          <w:marTop w:val="0"/>
          <w:marBottom w:val="0"/>
          <w:divBdr>
            <w:top w:val="none" w:sz="0" w:space="0" w:color="auto"/>
            <w:left w:val="none" w:sz="0" w:space="0" w:color="auto"/>
            <w:bottom w:val="none" w:sz="0" w:space="0" w:color="auto"/>
            <w:right w:val="none" w:sz="0" w:space="0" w:color="auto"/>
          </w:divBdr>
          <w:divsChild>
            <w:div w:id="1506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0416">
      <w:bodyDiv w:val="1"/>
      <w:marLeft w:val="0"/>
      <w:marRight w:val="0"/>
      <w:marTop w:val="0"/>
      <w:marBottom w:val="0"/>
      <w:divBdr>
        <w:top w:val="none" w:sz="0" w:space="0" w:color="auto"/>
        <w:left w:val="none" w:sz="0" w:space="0" w:color="auto"/>
        <w:bottom w:val="none" w:sz="0" w:space="0" w:color="auto"/>
        <w:right w:val="none" w:sz="0" w:space="0" w:color="auto"/>
      </w:divBdr>
      <w:divsChild>
        <w:div w:id="759251339">
          <w:marLeft w:val="0"/>
          <w:marRight w:val="0"/>
          <w:marTop w:val="0"/>
          <w:marBottom w:val="0"/>
          <w:divBdr>
            <w:top w:val="none" w:sz="0" w:space="0" w:color="auto"/>
            <w:left w:val="none" w:sz="0" w:space="0" w:color="auto"/>
            <w:bottom w:val="none" w:sz="0" w:space="0" w:color="auto"/>
            <w:right w:val="none" w:sz="0" w:space="0" w:color="auto"/>
          </w:divBdr>
        </w:div>
      </w:divsChild>
    </w:div>
    <w:div w:id="59140672">
      <w:bodyDiv w:val="1"/>
      <w:marLeft w:val="0"/>
      <w:marRight w:val="0"/>
      <w:marTop w:val="0"/>
      <w:marBottom w:val="0"/>
      <w:divBdr>
        <w:top w:val="none" w:sz="0" w:space="0" w:color="auto"/>
        <w:left w:val="none" w:sz="0" w:space="0" w:color="auto"/>
        <w:bottom w:val="none" w:sz="0" w:space="0" w:color="auto"/>
        <w:right w:val="none" w:sz="0" w:space="0" w:color="auto"/>
      </w:divBdr>
    </w:div>
    <w:div w:id="344408347">
      <w:bodyDiv w:val="1"/>
      <w:marLeft w:val="0"/>
      <w:marRight w:val="0"/>
      <w:marTop w:val="0"/>
      <w:marBottom w:val="0"/>
      <w:divBdr>
        <w:top w:val="none" w:sz="0" w:space="0" w:color="auto"/>
        <w:left w:val="none" w:sz="0" w:space="0" w:color="auto"/>
        <w:bottom w:val="none" w:sz="0" w:space="0" w:color="auto"/>
        <w:right w:val="none" w:sz="0" w:space="0" w:color="auto"/>
      </w:divBdr>
    </w:div>
    <w:div w:id="350299119">
      <w:bodyDiv w:val="1"/>
      <w:marLeft w:val="0"/>
      <w:marRight w:val="0"/>
      <w:marTop w:val="0"/>
      <w:marBottom w:val="0"/>
      <w:divBdr>
        <w:top w:val="none" w:sz="0" w:space="0" w:color="auto"/>
        <w:left w:val="none" w:sz="0" w:space="0" w:color="auto"/>
        <w:bottom w:val="none" w:sz="0" w:space="0" w:color="auto"/>
        <w:right w:val="none" w:sz="0" w:space="0" w:color="auto"/>
      </w:divBdr>
      <w:divsChild>
        <w:div w:id="1267427576">
          <w:marLeft w:val="0"/>
          <w:marRight w:val="0"/>
          <w:marTop w:val="0"/>
          <w:marBottom w:val="0"/>
          <w:divBdr>
            <w:top w:val="none" w:sz="0" w:space="0" w:color="auto"/>
            <w:left w:val="none" w:sz="0" w:space="0" w:color="auto"/>
            <w:bottom w:val="none" w:sz="0" w:space="0" w:color="auto"/>
            <w:right w:val="none" w:sz="0" w:space="0" w:color="auto"/>
          </w:divBdr>
          <w:divsChild>
            <w:div w:id="18012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4845">
      <w:bodyDiv w:val="1"/>
      <w:marLeft w:val="0"/>
      <w:marRight w:val="0"/>
      <w:marTop w:val="0"/>
      <w:marBottom w:val="0"/>
      <w:divBdr>
        <w:top w:val="none" w:sz="0" w:space="0" w:color="auto"/>
        <w:left w:val="none" w:sz="0" w:space="0" w:color="auto"/>
        <w:bottom w:val="none" w:sz="0" w:space="0" w:color="auto"/>
        <w:right w:val="none" w:sz="0" w:space="0" w:color="auto"/>
      </w:divBdr>
      <w:divsChild>
        <w:div w:id="1213465773">
          <w:marLeft w:val="0"/>
          <w:marRight w:val="0"/>
          <w:marTop w:val="0"/>
          <w:marBottom w:val="0"/>
          <w:divBdr>
            <w:top w:val="none" w:sz="0" w:space="0" w:color="auto"/>
            <w:left w:val="none" w:sz="0" w:space="0" w:color="auto"/>
            <w:bottom w:val="none" w:sz="0" w:space="0" w:color="auto"/>
            <w:right w:val="none" w:sz="0" w:space="0" w:color="auto"/>
          </w:divBdr>
          <w:divsChild>
            <w:div w:id="82335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43597">
      <w:bodyDiv w:val="1"/>
      <w:marLeft w:val="0"/>
      <w:marRight w:val="0"/>
      <w:marTop w:val="0"/>
      <w:marBottom w:val="0"/>
      <w:divBdr>
        <w:top w:val="none" w:sz="0" w:space="0" w:color="auto"/>
        <w:left w:val="none" w:sz="0" w:space="0" w:color="auto"/>
        <w:bottom w:val="none" w:sz="0" w:space="0" w:color="auto"/>
        <w:right w:val="none" w:sz="0" w:space="0" w:color="auto"/>
      </w:divBdr>
      <w:divsChild>
        <w:div w:id="1369137842">
          <w:marLeft w:val="0"/>
          <w:marRight w:val="0"/>
          <w:marTop w:val="0"/>
          <w:marBottom w:val="0"/>
          <w:divBdr>
            <w:top w:val="none" w:sz="0" w:space="0" w:color="auto"/>
            <w:left w:val="none" w:sz="0" w:space="0" w:color="auto"/>
            <w:bottom w:val="none" w:sz="0" w:space="0" w:color="auto"/>
            <w:right w:val="none" w:sz="0" w:space="0" w:color="auto"/>
          </w:divBdr>
        </w:div>
      </w:divsChild>
    </w:div>
    <w:div w:id="403382866">
      <w:bodyDiv w:val="1"/>
      <w:marLeft w:val="0"/>
      <w:marRight w:val="0"/>
      <w:marTop w:val="0"/>
      <w:marBottom w:val="0"/>
      <w:divBdr>
        <w:top w:val="none" w:sz="0" w:space="0" w:color="auto"/>
        <w:left w:val="none" w:sz="0" w:space="0" w:color="auto"/>
        <w:bottom w:val="none" w:sz="0" w:space="0" w:color="auto"/>
        <w:right w:val="none" w:sz="0" w:space="0" w:color="auto"/>
      </w:divBdr>
    </w:div>
    <w:div w:id="509222398">
      <w:bodyDiv w:val="1"/>
      <w:marLeft w:val="0"/>
      <w:marRight w:val="0"/>
      <w:marTop w:val="0"/>
      <w:marBottom w:val="0"/>
      <w:divBdr>
        <w:top w:val="none" w:sz="0" w:space="0" w:color="auto"/>
        <w:left w:val="none" w:sz="0" w:space="0" w:color="auto"/>
        <w:bottom w:val="none" w:sz="0" w:space="0" w:color="auto"/>
        <w:right w:val="none" w:sz="0" w:space="0" w:color="auto"/>
      </w:divBdr>
      <w:divsChild>
        <w:div w:id="357700696">
          <w:marLeft w:val="0"/>
          <w:marRight w:val="0"/>
          <w:marTop w:val="0"/>
          <w:marBottom w:val="0"/>
          <w:divBdr>
            <w:top w:val="none" w:sz="0" w:space="0" w:color="auto"/>
            <w:left w:val="none" w:sz="0" w:space="0" w:color="auto"/>
            <w:bottom w:val="none" w:sz="0" w:space="0" w:color="auto"/>
            <w:right w:val="none" w:sz="0" w:space="0" w:color="auto"/>
          </w:divBdr>
        </w:div>
      </w:divsChild>
    </w:div>
    <w:div w:id="674039268">
      <w:bodyDiv w:val="1"/>
      <w:marLeft w:val="0"/>
      <w:marRight w:val="0"/>
      <w:marTop w:val="0"/>
      <w:marBottom w:val="0"/>
      <w:divBdr>
        <w:top w:val="none" w:sz="0" w:space="0" w:color="auto"/>
        <w:left w:val="none" w:sz="0" w:space="0" w:color="auto"/>
        <w:bottom w:val="none" w:sz="0" w:space="0" w:color="auto"/>
        <w:right w:val="none" w:sz="0" w:space="0" w:color="auto"/>
      </w:divBdr>
      <w:divsChild>
        <w:div w:id="8679773">
          <w:marLeft w:val="0"/>
          <w:marRight w:val="0"/>
          <w:marTop w:val="0"/>
          <w:marBottom w:val="0"/>
          <w:divBdr>
            <w:top w:val="none" w:sz="0" w:space="0" w:color="auto"/>
            <w:left w:val="none" w:sz="0" w:space="0" w:color="auto"/>
            <w:bottom w:val="none" w:sz="0" w:space="0" w:color="auto"/>
            <w:right w:val="none" w:sz="0" w:space="0" w:color="auto"/>
          </w:divBdr>
          <w:divsChild>
            <w:div w:id="96443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928805">
      <w:bodyDiv w:val="1"/>
      <w:marLeft w:val="0"/>
      <w:marRight w:val="0"/>
      <w:marTop w:val="0"/>
      <w:marBottom w:val="0"/>
      <w:divBdr>
        <w:top w:val="none" w:sz="0" w:space="0" w:color="auto"/>
        <w:left w:val="none" w:sz="0" w:space="0" w:color="auto"/>
        <w:bottom w:val="none" w:sz="0" w:space="0" w:color="auto"/>
        <w:right w:val="none" w:sz="0" w:space="0" w:color="auto"/>
      </w:divBdr>
      <w:divsChild>
        <w:div w:id="1837569519">
          <w:marLeft w:val="0"/>
          <w:marRight w:val="0"/>
          <w:marTop w:val="0"/>
          <w:marBottom w:val="0"/>
          <w:divBdr>
            <w:top w:val="none" w:sz="0" w:space="0" w:color="auto"/>
            <w:left w:val="none" w:sz="0" w:space="0" w:color="auto"/>
            <w:bottom w:val="none" w:sz="0" w:space="0" w:color="auto"/>
            <w:right w:val="none" w:sz="0" w:space="0" w:color="auto"/>
          </w:divBdr>
        </w:div>
      </w:divsChild>
    </w:div>
    <w:div w:id="1080063675">
      <w:bodyDiv w:val="1"/>
      <w:marLeft w:val="0"/>
      <w:marRight w:val="0"/>
      <w:marTop w:val="0"/>
      <w:marBottom w:val="0"/>
      <w:divBdr>
        <w:top w:val="none" w:sz="0" w:space="0" w:color="auto"/>
        <w:left w:val="none" w:sz="0" w:space="0" w:color="auto"/>
        <w:bottom w:val="none" w:sz="0" w:space="0" w:color="auto"/>
        <w:right w:val="none" w:sz="0" w:space="0" w:color="auto"/>
      </w:divBdr>
      <w:divsChild>
        <w:div w:id="1077898286">
          <w:marLeft w:val="0"/>
          <w:marRight w:val="0"/>
          <w:marTop w:val="0"/>
          <w:marBottom w:val="0"/>
          <w:divBdr>
            <w:top w:val="none" w:sz="0" w:space="0" w:color="auto"/>
            <w:left w:val="none" w:sz="0" w:space="0" w:color="auto"/>
            <w:bottom w:val="none" w:sz="0" w:space="0" w:color="auto"/>
            <w:right w:val="none" w:sz="0" w:space="0" w:color="auto"/>
          </w:divBdr>
        </w:div>
      </w:divsChild>
    </w:div>
    <w:div w:id="1121071512">
      <w:bodyDiv w:val="1"/>
      <w:marLeft w:val="0"/>
      <w:marRight w:val="0"/>
      <w:marTop w:val="0"/>
      <w:marBottom w:val="0"/>
      <w:divBdr>
        <w:top w:val="none" w:sz="0" w:space="0" w:color="auto"/>
        <w:left w:val="none" w:sz="0" w:space="0" w:color="auto"/>
        <w:bottom w:val="none" w:sz="0" w:space="0" w:color="auto"/>
        <w:right w:val="none" w:sz="0" w:space="0" w:color="auto"/>
      </w:divBdr>
      <w:divsChild>
        <w:div w:id="1976567721">
          <w:marLeft w:val="0"/>
          <w:marRight w:val="0"/>
          <w:marTop w:val="0"/>
          <w:marBottom w:val="0"/>
          <w:divBdr>
            <w:top w:val="none" w:sz="0" w:space="0" w:color="auto"/>
            <w:left w:val="none" w:sz="0" w:space="0" w:color="auto"/>
            <w:bottom w:val="none" w:sz="0" w:space="0" w:color="auto"/>
            <w:right w:val="none" w:sz="0" w:space="0" w:color="auto"/>
          </w:divBdr>
        </w:div>
      </w:divsChild>
    </w:div>
    <w:div w:id="1143935263">
      <w:bodyDiv w:val="1"/>
      <w:marLeft w:val="0"/>
      <w:marRight w:val="0"/>
      <w:marTop w:val="0"/>
      <w:marBottom w:val="0"/>
      <w:divBdr>
        <w:top w:val="none" w:sz="0" w:space="0" w:color="auto"/>
        <w:left w:val="none" w:sz="0" w:space="0" w:color="auto"/>
        <w:bottom w:val="none" w:sz="0" w:space="0" w:color="auto"/>
        <w:right w:val="none" w:sz="0" w:space="0" w:color="auto"/>
      </w:divBdr>
    </w:div>
    <w:div w:id="1215000997">
      <w:bodyDiv w:val="1"/>
      <w:marLeft w:val="0"/>
      <w:marRight w:val="0"/>
      <w:marTop w:val="0"/>
      <w:marBottom w:val="0"/>
      <w:divBdr>
        <w:top w:val="none" w:sz="0" w:space="0" w:color="auto"/>
        <w:left w:val="none" w:sz="0" w:space="0" w:color="auto"/>
        <w:bottom w:val="none" w:sz="0" w:space="0" w:color="auto"/>
        <w:right w:val="none" w:sz="0" w:space="0" w:color="auto"/>
      </w:divBdr>
      <w:divsChild>
        <w:div w:id="1148592446">
          <w:marLeft w:val="0"/>
          <w:marRight w:val="0"/>
          <w:marTop w:val="0"/>
          <w:marBottom w:val="0"/>
          <w:divBdr>
            <w:top w:val="none" w:sz="0" w:space="0" w:color="auto"/>
            <w:left w:val="none" w:sz="0" w:space="0" w:color="auto"/>
            <w:bottom w:val="none" w:sz="0" w:space="0" w:color="auto"/>
            <w:right w:val="none" w:sz="0" w:space="0" w:color="auto"/>
          </w:divBdr>
        </w:div>
      </w:divsChild>
    </w:div>
    <w:div w:id="1285504952">
      <w:bodyDiv w:val="1"/>
      <w:marLeft w:val="0"/>
      <w:marRight w:val="0"/>
      <w:marTop w:val="0"/>
      <w:marBottom w:val="0"/>
      <w:divBdr>
        <w:top w:val="none" w:sz="0" w:space="0" w:color="auto"/>
        <w:left w:val="none" w:sz="0" w:space="0" w:color="auto"/>
        <w:bottom w:val="none" w:sz="0" w:space="0" w:color="auto"/>
        <w:right w:val="none" w:sz="0" w:space="0" w:color="auto"/>
      </w:divBdr>
    </w:div>
    <w:div w:id="1300459846">
      <w:bodyDiv w:val="1"/>
      <w:marLeft w:val="0"/>
      <w:marRight w:val="0"/>
      <w:marTop w:val="0"/>
      <w:marBottom w:val="0"/>
      <w:divBdr>
        <w:top w:val="none" w:sz="0" w:space="0" w:color="auto"/>
        <w:left w:val="none" w:sz="0" w:space="0" w:color="auto"/>
        <w:bottom w:val="none" w:sz="0" w:space="0" w:color="auto"/>
        <w:right w:val="none" w:sz="0" w:space="0" w:color="auto"/>
      </w:divBdr>
      <w:divsChild>
        <w:div w:id="1299992813">
          <w:marLeft w:val="0"/>
          <w:marRight w:val="0"/>
          <w:marTop w:val="0"/>
          <w:marBottom w:val="0"/>
          <w:divBdr>
            <w:top w:val="none" w:sz="0" w:space="0" w:color="auto"/>
            <w:left w:val="none" w:sz="0" w:space="0" w:color="auto"/>
            <w:bottom w:val="none" w:sz="0" w:space="0" w:color="auto"/>
            <w:right w:val="none" w:sz="0" w:space="0" w:color="auto"/>
          </w:divBdr>
        </w:div>
      </w:divsChild>
    </w:div>
    <w:div w:id="1518471112">
      <w:bodyDiv w:val="1"/>
      <w:marLeft w:val="0"/>
      <w:marRight w:val="0"/>
      <w:marTop w:val="0"/>
      <w:marBottom w:val="0"/>
      <w:divBdr>
        <w:top w:val="none" w:sz="0" w:space="0" w:color="auto"/>
        <w:left w:val="none" w:sz="0" w:space="0" w:color="auto"/>
        <w:bottom w:val="none" w:sz="0" w:space="0" w:color="auto"/>
        <w:right w:val="none" w:sz="0" w:space="0" w:color="auto"/>
      </w:divBdr>
      <w:divsChild>
        <w:div w:id="1724795439">
          <w:marLeft w:val="0"/>
          <w:marRight w:val="0"/>
          <w:marTop w:val="0"/>
          <w:marBottom w:val="0"/>
          <w:divBdr>
            <w:top w:val="none" w:sz="0" w:space="0" w:color="auto"/>
            <w:left w:val="none" w:sz="0" w:space="0" w:color="auto"/>
            <w:bottom w:val="none" w:sz="0" w:space="0" w:color="auto"/>
            <w:right w:val="none" w:sz="0" w:space="0" w:color="auto"/>
          </w:divBdr>
        </w:div>
      </w:divsChild>
    </w:div>
    <w:div w:id="1728606474">
      <w:bodyDiv w:val="1"/>
      <w:marLeft w:val="0"/>
      <w:marRight w:val="0"/>
      <w:marTop w:val="0"/>
      <w:marBottom w:val="0"/>
      <w:divBdr>
        <w:top w:val="none" w:sz="0" w:space="0" w:color="auto"/>
        <w:left w:val="none" w:sz="0" w:space="0" w:color="auto"/>
        <w:bottom w:val="none" w:sz="0" w:space="0" w:color="auto"/>
        <w:right w:val="none" w:sz="0" w:space="0" w:color="auto"/>
      </w:divBdr>
      <w:divsChild>
        <w:div w:id="1966932009">
          <w:marLeft w:val="0"/>
          <w:marRight w:val="0"/>
          <w:marTop w:val="0"/>
          <w:marBottom w:val="0"/>
          <w:divBdr>
            <w:top w:val="none" w:sz="0" w:space="0" w:color="auto"/>
            <w:left w:val="none" w:sz="0" w:space="0" w:color="auto"/>
            <w:bottom w:val="none" w:sz="0" w:space="0" w:color="auto"/>
            <w:right w:val="none" w:sz="0" w:space="0" w:color="auto"/>
          </w:divBdr>
          <w:divsChild>
            <w:div w:id="9957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8865">
      <w:bodyDiv w:val="1"/>
      <w:marLeft w:val="0"/>
      <w:marRight w:val="0"/>
      <w:marTop w:val="0"/>
      <w:marBottom w:val="0"/>
      <w:divBdr>
        <w:top w:val="none" w:sz="0" w:space="0" w:color="auto"/>
        <w:left w:val="none" w:sz="0" w:space="0" w:color="auto"/>
        <w:bottom w:val="none" w:sz="0" w:space="0" w:color="auto"/>
        <w:right w:val="none" w:sz="0" w:space="0" w:color="auto"/>
      </w:divBdr>
      <w:divsChild>
        <w:div w:id="1163743993">
          <w:marLeft w:val="0"/>
          <w:marRight w:val="0"/>
          <w:marTop w:val="0"/>
          <w:marBottom w:val="0"/>
          <w:divBdr>
            <w:top w:val="none" w:sz="0" w:space="0" w:color="auto"/>
            <w:left w:val="none" w:sz="0" w:space="0" w:color="auto"/>
            <w:bottom w:val="none" w:sz="0" w:space="0" w:color="auto"/>
            <w:right w:val="none" w:sz="0" w:space="0" w:color="auto"/>
          </w:divBdr>
          <w:divsChild>
            <w:div w:id="13933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44990">
      <w:bodyDiv w:val="1"/>
      <w:marLeft w:val="0"/>
      <w:marRight w:val="0"/>
      <w:marTop w:val="0"/>
      <w:marBottom w:val="0"/>
      <w:divBdr>
        <w:top w:val="none" w:sz="0" w:space="0" w:color="auto"/>
        <w:left w:val="none" w:sz="0" w:space="0" w:color="auto"/>
        <w:bottom w:val="none" w:sz="0" w:space="0" w:color="auto"/>
        <w:right w:val="none" w:sz="0" w:space="0" w:color="auto"/>
      </w:divBdr>
    </w:div>
    <w:div w:id="1842313915">
      <w:bodyDiv w:val="1"/>
      <w:marLeft w:val="0"/>
      <w:marRight w:val="0"/>
      <w:marTop w:val="0"/>
      <w:marBottom w:val="0"/>
      <w:divBdr>
        <w:top w:val="none" w:sz="0" w:space="0" w:color="auto"/>
        <w:left w:val="none" w:sz="0" w:space="0" w:color="auto"/>
        <w:bottom w:val="none" w:sz="0" w:space="0" w:color="auto"/>
        <w:right w:val="none" w:sz="0" w:space="0" w:color="auto"/>
      </w:divBdr>
      <w:divsChild>
        <w:div w:id="1758793644">
          <w:marLeft w:val="0"/>
          <w:marRight w:val="0"/>
          <w:marTop w:val="0"/>
          <w:marBottom w:val="0"/>
          <w:divBdr>
            <w:top w:val="none" w:sz="0" w:space="0" w:color="auto"/>
            <w:left w:val="none" w:sz="0" w:space="0" w:color="auto"/>
            <w:bottom w:val="none" w:sz="0" w:space="0" w:color="auto"/>
            <w:right w:val="none" w:sz="0" w:space="0" w:color="auto"/>
          </w:divBdr>
          <w:divsChild>
            <w:div w:id="200462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03272">
      <w:bodyDiv w:val="1"/>
      <w:marLeft w:val="0"/>
      <w:marRight w:val="0"/>
      <w:marTop w:val="0"/>
      <w:marBottom w:val="0"/>
      <w:divBdr>
        <w:top w:val="none" w:sz="0" w:space="0" w:color="auto"/>
        <w:left w:val="none" w:sz="0" w:space="0" w:color="auto"/>
        <w:bottom w:val="none" w:sz="0" w:space="0" w:color="auto"/>
        <w:right w:val="none" w:sz="0" w:space="0" w:color="auto"/>
      </w:divBdr>
      <w:divsChild>
        <w:div w:id="1858232068">
          <w:marLeft w:val="0"/>
          <w:marRight w:val="0"/>
          <w:marTop w:val="0"/>
          <w:marBottom w:val="0"/>
          <w:divBdr>
            <w:top w:val="none" w:sz="0" w:space="0" w:color="auto"/>
            <w:left w:val="none" w:sz="0" w:space="0" w:color="auto"/>
            <w:bottom w:val="none" w:sz="0" w:space="0" w:color="auto"/>
            <w:right w:val="none" w:sz="0" w:space="0" w:color="auto"/>
          </w:divBdr>
          <w:divsChild>
            <w:div w:id="207153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55995">
      <w:bodyDiv w:val="1"/>
      <w:marLeft w:val="0"/>
      <w:marRight w:val="0"/>
      <w:marTop w:val="0"/>
      <w:marBottom w:val="0"/>
      <w:divBdr>
        <w:top w:val="none" w:sz="0" w:space="0" w:color="auto"/>
        <w:left w:val="none" w:sz="0" w:space="0" w:color="auto"/>
        <w:bottom w:val="none" w:sz="0" w:space="0" w:color="auto"/>
        <w:right w:val="none" w:sz="0" w:space="0" w:color="auto"/>
      </w:divBdr>
      <w:divsChild>
        <w:div w:id="749890101">
          <w:marLeft w:val="0"/>
          <w:marRight w:val="0"/>
          <w:marTop w:val="0"/>
          <w:marBottom w:val="0"/>
          <w:divBdr>
            <w:top w:val="none" w:sz="0" w:space="0" w:color="auto"/>
            <w:left w:val="none" w:sz="0" w:space="0" w:color="auto"/>
            <w:bottom w:val="none" w:sz="0" w:space="0" w:color="auto"/>
            <w:right w:val="none" w:sz="0" w:space="0" w:color="auto"/>
          </w:divBdr>
          <w:divsChild>
            <w:div w:id="15804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6454">
      <w:bodyDiv w:val="1"/>
      <w:marLeft w:val="0"/>
      <w:marRight w:val="0"/>
      <w:marTop w:val="0"/>
      <w:marBottom w:val="0"/>
      <w:divBdr>
        <w:top w:val="none" w:sz="0" w:space="0" w:color="auto"/>
        <w:left w:val="none" w:sz="0" w:space="0" w:color="auto"/>
        <w:bottom w:val="none" w:sz="0" w:space="0" w:color="auto"/>
        <w:right w:val="none" w:sz="0" w:space="0" w:color="auto"/>
      </w:divBdr>
      <w:divsChild>
        <w:div w:id="1721976411">
          <w:marLeft w:val="0"/>
          <w:marRight w:val="0"/>
          <w:marTop w:val="0"/>
          <w:marBottom w:val="0"/>
          <w:divBdr>
            <w:top w:val="none" w:sz="0" w:space="0" w:color="auto"/>
            <w:left w:val="none" w:sz="0" w:space="0" w:color="auto"/>
            <w:bottom w:val="none" w:sz="0" w:space="0" w:color="auto"/>
            <w:right w:val="none" w:sz="0" w:space="0" w:color="auto"/>
          </w:divBdr>
          <w:divsChild>
            <w:div w:id="118659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7697">
      <w:bodyDiv w:val="1"/>
      <w:marLeft w:val="0"/>
      <w:marRight w:val="0"/>
      <w:marTop w:val="0"/>
      <w:marBottom w:val="0"/>
      <w:divBdr>
        <w:top w:val="none" w:sz="0" w:space="0" w:color="auto"/>
        <w:left w:val="none" w:sz="0" w:space="0" w:color="auto"/>
        <w:bottom w:val="none" w:sz="0" w:space="0" w:color="auto"/>
        <w:right w:val="none" w:sz="0" w:space="0" w:color="auto"/>
      </w:divBdr>
      <w:divsChild>
        <w:div w:id="1108895159">
          <w:marLeft w:val="0"/>
          <w:marRight w:val="0"/>
          <w:marTop w:val="0"/>
          <w:marBottom w:val="0"/>
          <w:divBdr>
            <w:top w:val="none" w:sz="0" w:space="0" w:color="auto"/>
            <w:left w:val="none" w:sz="0" w:space="0" w:color="auto"/>
            <w:bottom w:val="none" w:sz="0" w:space="0" w:color="auto"/>
            <w:right w:val="none" w:sz="0" w:space="0" w:color="auto"/>
          </w:divBdr>
        </w:div>
      </w:divsChild>
    </w:div>
    <w:div w:id="2136367967">
      <w:bodyDiv w:val="1"/>
      <w:marLeft w:val="0"/>
      <w:marRight w:val="0"/>
      <w:marTop w:val="0"/>
      <w:marBottom w:val="0"/>
      <w:divBdr>
        <w:top w:val="none" w:sz="0" w:space="0" w:color="auto"/>
        <w:left w:val="none" w:sz="0" w:space="0" w:color="auto"/>
        <w:bottom w:val="none" w:sz="0" w:space="0" w:color="auto"/>
        <w:right w:val="none" w:sz="0" w:space="0" w:color="auto"/>
      </w:divBdr>
      <w:divsChild>
        <w:div w:id="1948997872">
          <w:marLeft w:val="0"/>
          <w:marRight w:val="0"/>
          <w:marTop w:val="0"/>
          <w:marBottom w:val="0"/>
          <w:divBdr>
            <w:top w:val="none" w:sz="0" w:space="0" w:color="auto"/>
            <w:left w:val="none" w:sz="0" w:space="0" w:color="auto"/>
            <w:bottom w:val="none" w:sz="0" w:space="0" w:color="auto"/>
            <w:right w:val="none" w:sz="0" w:space="0" w:color="auto"/>
          </w:divBdr>
          <w:divsChild>
            <w:div w:id="7296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A090C13B198D459DA7F0549E842ED2" ma:contentTypeVersion="2" ma:contentTypeDescription="Create a new document." ma:contentTypeScope="" ma:versionID="4e68f29a22c3a2bcc49d8ed72c848166">
  <xsd:schema xmlns:xsd="http://www.w3.org/2001/XMLSchema" xmlns:xs="http://www.w3.org/2001/XMLSchema" xmlns:p="http://schemas.microsoft.com/office/2006/metadata/properties" xmlns:ns1="http://schemas.microsoft.com/sharepoint/v3" xmlns:ns2="234990e2-df1b-4f93-b00a-99f5e80c8b67" targetNamespace="http://schemas.microsoft.com/office/2006/metadata/properties" ma:root="true" ma:fieldsID="7beb02395894bd3ef19e7ead070b1002" ns1:_="" ns2:_="">
    <xsd:import namespace="http://schemas.microsoft.com/sharepoint/v3"/>
    <xsd:import namespace="234990e2-df1b-4f93-b00a-99f5e80c8b6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4990e2-df1b-4f93-b00a-99f5e80c8b67"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DA1023-3E5A-4D8D-B162-FE34A2F847A5}">
  <ds:schemaRefs>
    <ds:schemaRef ds:uri="http://schemas.openxmlformats.org/officeDocument/2006/bibliography"/>
  </ds:schemaRefs>
</ds:datastoreItem>
</file>

<file path=customXml/itemProps2.xml><?xml version="1.0" encoding="utf-8"?>
<ds:datastoreItem xmlns:ds="http://schemas.openxmlformats.org/officeDocument/2006/customXml" ds:itemID="{4E96F74E-1668-47C6-8637-438F44DF0B4B}">
  <ds:schemaRefs>
    <ds:schemaRef ds:uri="http://schemas.microsoft.com/sharepoint/v3/contenttype/forms"/>
  </ds:schemaRefs>
</ds:datastoreItem>
</file>

<file path=customXml/itemProps3.xml><?xml version="1.0" encoding="utf-8"?>
<ds:datastoreItem xmlns:ds="http://schemas.openxmlformats.org/officeDocument/2006/customXml" ds:itemID="{1C624AD8-2FD3-4F18-BEE7-A1B5379F4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4990e2-df1b-4f93-b00a-99f5e80c8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DF29D9-FF27-4CBB-ADE1-0946533561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4263</Words>
  <Characters>2430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Laimis Kosevičius</dc:creator>
  <cp:keywords/>
  <dc:description/>
  <cp:lastModifiedBy>Kajus</cp:lastModifiedBy>
  <cp:revision>8</cp:revision>
  <cp:lastPrinted>2020-01-23T08:36:00Z</cp:lastPrinted>
  <dcterms:created xsi:type="dcterms:W3CDTF">2026-11-05T11:39:00Z</dcterms:created>
  <dcterms:modified xsi:type="dcterms:W3CDTF">2026-11-05T11:57:00Z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0x010100ECA090C13B198D459DA7F0549E842ED2</vt:lpwstr>
  </property>
</Properties>
</file>