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337BE0C9" w:rsidR="00450513" w:rsidRPr="007C6F6D" w:rsidRDefault="00EF3876" w:rsidP="00984699">
      <w:pPr>
        <w:rPr>
          <w:rFonts w:ascii="Segoe UI" w:eastAsia="Segoe UI" w:hAnsi="Segoe UI" w:cs="Segoe UI"/>
          <w:lang w:val="en-GB"/>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881A1D">
        <w:rPr>
          <w:rFonts w:ascii="Segoe UI" w:eastAsia="Segoe UI" w:hAnsi="Segoe UI" w:cs="Segoe UI"/>
        </w:rPr>
        <w:t>rug</w:t>
      </w:r>
      <w:r w:rsidR="00883D2C">
        <w:rPr>
          <w:rFonts w:ascii="Segoe UI" w:eastAsia="Segoe UI" w:hAnsi="Segoe UI" w:cs="Segoe UI"/>
        </w:rPr>
        <w:t>sėjo</w:t>
      </w:r>
      <w:r w:rsidR="00546BB0">
        <w:rPr>
          <w:rFonts w:ascii="Segoe UI" w:eastAsia="Segoe UI" w:hAnsi="Segoe UI" w:cs="Segoe UI"/>
        </w:rPr>
        <w:t xml:space="preserve"> </w:t>
      </w:r>
      <w:r w:rsidR="00F40701">
        <w:rPr>
          <w:rFonts w:ascii="Segoe UI" w:eastAsia="Segoe UI" w:hAnsi="Segoe UI" w:cs="Segoe UI"/>
          <w:color w:val="auto"/>
          <w:lang w:val="en-US"/>
        </w:rPr>
        <w:t>24</w:t>
      </w:r>
      <w:r w:rsidR="006405E4">
        <w:rPr>
          <w:rFonts w:ascii="Segoe UI" w:eastAsia="Segoe UI" w:hAnsi="Segoe UI" w:cs="Segoe UI"/>
          <w:color w:val="auto"/>
        </w:rPr>
        <w:t xml:space="preserve"> </w:t>
      </w:r>
      <w:r w:rsidRPr="00182867">
        <w:rPr>
          <w:rFonts w:ascii="Segoe UI" w:eastAsia="Segoe UI" w:hAnsi="Segoe UI" w:cs="Segoe UI"/>
          <w:color w:val="auto"/>
        </w:rPr>
        <w:t>d</w:t>
      </w:r>
      <w:r w:rsidRPr="00182867">
        <w:rPr>
          <w:rFonts w:ascii="Segoe UI" w:eastAsia="Segoe UI" w:hAnsi="Segoe UI" w:cs="Segoe UI"/>
        </w:rPr>
        <w:t>.</w:t>
      </w:r>
    </w:p>
    <w:p w14:paraId="2DF37D21" w14:textId="71141880" w:rsidR="004165BF" w:rsidRDefault="00D2797B" w:rsidP="0096704D">
      <w:pPr>
        <w:spacing w:line="256" w:lineRule="auto"/>
        <w:jc w:val="both"/>
        <w:rPr>
          <w:rFonts w:ascii="Segoe UI" w:eastAsia="Segoe UI" w:hAnsi="Segoe UI" w:cs="Segoe UI"/>
          <w:b/>
          <w:bCs/>
          <w:sz w:val="28"/>
          <w:szCs w:val="28"/>
        </w:rPr>
      </w:pPr>
      <w:r>
        <w:rPr>
          <w:rFonts w:ascii="Segoe UI" w:eastAsia="Segoe UI" w:hAnsi="Segoe UI" w:cs="Segoe UI"/>
          <w:b/>
          <w:bCs/>
          <w:sz w:val="28"/>
          <w:szCs w:val="28"/>
        </w:rPr>
        <w:t>Gavote</w:t>
      </w:r>
      <w:r w:rsidR="0096704D" w:rsidRPr="0096704D">
        <w:rPr>
          <w:rFonts w:ascii="Segoe UI" w:eastAsia="Segoe UI" w:hAnsi="Segoe UI" w:cs="Segoe UI"/>
          <w:b/>
          <w:bCs/>
          <w:sz w:val="28"/>
          <w:szCs w:val="28"/>
        </w:rPr>
        <w:t xml:space="preserve"> didelę pinigų sumą? Ekspertas pataria, nuo ko pradėti</w:t>
      </w:r>
    </w:p>
    <w:p w14:paraId="1D7330E4" w14:textId="77777777" w:rsidR="00D2797B" w:rsidRPr="00D2797B" w:rsidRDefault="00D2797B" w:rsidP="00D2797B">
      <w:pPr>
        <w:spacing w:line="256" w:lineRule="auto"/>
        <w:jc w:val="both"/>
        <w:rPr>
          <w:rFonts w:ascii="Segoe UI" w:eastAsia="Segoe UI" w:hAnsi="Segoe UI" w:cs="Segoe UI"/>
          <w:b/>
          <w:bCs/>
        </w:rPr>
      </w:pPr>
      <w:r w:rsidRPr="00D2797B">
        <w:rPr>
          <w:rFonts w:ascii="Segoe UI" w:eastAsia="Segoe UI" w:hAnsi="Segoe UI" w:cs="Segoe UI"/>
          <w:b/>
          <w:bCs/>
        </w:rPr>
        <w:t>Paveldėjimas, premija, dovana ar pajamos pardavus turtą suteikia daugiau finansinės laisvės, tačiau savaime jos neužtikrina. Neturint aiškaus plano, pinigai gali greitai išsisklaidyti kasdienėms išlaidoms, o skubotas noras juos įdarbinti – nuvesti prie rizikingų investicijų ar net sukčių. Ką svarbu įvertinti prieš priimant sprendimą, pasakoja „Luminor“ banko portfelių valdytojas Gediminas Dirkstys.</w:t>
      </w:r>
    </w:p>
    <w:p w14:paraId="60266959" w14:textId="77777777" w:rsidR="00496F87" w:rsidRDefault="00496F87" w:rsidP="00D2797B">
      <w:pPr>
        <w:spacing w:line="256" w:lineRule="auto"/>
        <w:jc w:val="both"/>
        <w:rPr>
          <w:rFonts w:ascii="Segoe UI" w:eastAsia="Segoe UI" w:hAnsi="Segoe UI" w:cs="Segoe UI"/>
        </w:rPr>
      </w:pPr>
      <w:r w:rsidRPr="00496F87">
        <w:rPr>
          <w:rFonts w:ascii="Segoe UI" w:eastAsia="Segoe UI" w:hAnsi="Segoe UI" w:cs="Segoe UI"/>
        </w:rPr>
        <w:t>„Didelė suma nebūtinai turi būti skirta vienam tikslui. Dalį jos galima palikti finansiniam saugumui, kitą – artimiausiems planams, o ilgalaikėms investicijoms skirti tik tuos pinigus, kurių neprireiks ilgesnį laiką. Toks paskirstymas padeda išlaikyti lankstumą ir išvengti situacijos, kai netikėtai prireikus pinigų investicijas tenka parduoti nepalankiu metu“, – sako G. Dirkstys.</w:t>
      </w:r>
    </w:p>
    <w:p w14:paraId="693EC027" w14:textId="05CE8DE6" w:rsidR="00D2797B" w:rsidRPr="00D2797B" w:rsidRDefault="00D2797B" w:rsidP="00D2797B">
      <w:pPr>
        <w:spacing w:line="256" w:lineRule="auto"/>
        <w:jc w:val="both"/>
        <w:rPr>
          <w:rFonts w:ascii="Segoe UI" w:eastAsia="Segoe UI" w:hAnsi="Segoe UI" w:cs="Segoe UI"/>
          <w:b/>
          <w:bCs/>
        </w:rPr>
      </w:pPr>
      <w:r w:rsidRPr="00D2797B">
        <w:rPr>
          <w:rFonts w:ascii="Segoe UI" w:eastAsia="Segoe UI" w:hAnsi="Segoe UI" w:cs="Segoe UI"/>
          <w:b/>
          <w:bCs/>
        </w:rPr>
        <w:t>Pradėkite nuo finansinės pagalvės</w:t>
      </w:r>
    </w:p>
    <w:p w14:paraId="275E8F02" w14:textId="2779E41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Prieš investuojant reikėtų pasirūpinti finansiniu rezervu, kuris padengtų bent 3–6 mėnesių būtinąsias išlaidas. Šie pinigai turėtų būti lengvai p</w:t>
      </w:r>
      <w:r w:rsidR="00D760B1">
        <w:rPr>
          <w:rFonts w:ascii="Segoe UI" w:eastAsia="Segoe UI" w:hAnsi="Segoe UI" w:cs="Segoe UI"/>
        </w:rPr>
        <w:t>rieinam</w:t>
      </w:r>
      <w:r w:rsidRPr="00D2797B">
        <w:rPr>
          <w:rFonts w:ascii="Segoe UI" w:eastAsia="Segoe UI" w:hAnsi="Segoe UI" w:cs="Segoe UI"/>
        </w:rPr>
        <w:t>i, nes jų paskirtis – suteikti saugumo netikėtai sumažėjus pajamoms ar atsiradus neplanuotų išlaidų. Juos galima laikyti taupomojoje ar kitoje lengvai pasiekiamoje sąskaitoje.</w:t>
      </w:r>
    </w:p>
    <w:p w14:paraId="71A0F659" w14:textId="68BD07CD"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 xml:space="preserve">„Prieš ieškant investicinės grąžos verta įvertinti ir turimas brangias skolas. Pavyzdžiui, kredito kortelių metinės palūkanos gali siekti apie 15–20 proc., todėl tokio įsipareigojimo grąžinimas kai kuriais atvejais bus naudingesnis pirmasis žingsnis nei investavimas“, – sako </w:t>
      </w:r>
      <w:r w:rsidR="00D760B1" w:rsidRPr="00D760B1">
        <w:rPr>
          <w:rFonts w:ascii="Segoe UI" w:eastAsia="Segoe UI" w:hAnsi="Segoe UI" w:cs="Segoe UI"/>
        </w:rPr>
        <w:t>„Luminor“ banko portfelių valdytojas</w:t>
      </w:r>
      <w:r w:rsidRPr="00D2797B">
        <w:rPr>
          <w:rFonts w:ascii="Segoe UI" w:eastAsia="Segoe UI" w:hAnsi="Segoe UI" w:cs="Segoe UI"/>
        </w:rPr>
        <w:t>.</w:t>
      </w:r>
    </w:p>
    <w:p w14:paraId="47179E21"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Atskirai reikėtų atidėti pinigų artimiausiems planams, pavyzdžiui, būsto remontui ar automobiliui. Jei lėšų prireiks po metų ar dvejų, jų nereikėtų investuoti į stipriai svyruojančias priemones. Vienas iš galimų pasirinkimų – terminuotasis indėlis, kurio terminas sutampa su planuojama pinigų panaudojimo data.</w:t>
      </w:r>
    </w:p>
    <w:p w14:paraId="701A441B" w14:textId="77777777" w:rsidR="00D2797B" w:rsidRPr="00D2797B" w:rsidRDefault="00D2797B" w:rsidP="00D2797B">
      <w:pPr>
        <w:spacing w:line="256" w:lineRule="auto"/>
        <w:jc w:val="both"/>
        <w:rPr>
          <w:rFonts w:ascii="Segoe UI" w:eastAsia="Segoe UI" w:hAnsi="Segoe UI" w:cs="Segoe UI"/>
          <w:b/>
          <w:bCs/>
        </w:rPr>
      </w:pPr>
      <w:r w:rsidRPr="00D2797B">
        <w:rPr>
          <w:rFonts w:ascii="Segoe UI" w:eastAsia="Segoe UI" w:hAnsi="Segoe UI" w:cs="Segoe UI"/>
          <w:b/>
          <w:bCs/>
        </w:rPr>
        <w:t>Investuoti galima ir palaipsniui</w:t>
      </w:r>
    </w:p>
    <w:p w14:paraId="3AB3C422"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Ilgalaikėms investicijoms galima skirti tą sumos dalį, kurios laikinas vertės sumažėjimas nesukeltų finansinių sunkumų. Prieš priimant sprendimą svarbu apsibrėžti investavimo tikslą, laikotarpį ir priimtiną rizikos lygį.</w:t>
      </w:r>
    </w:p>
    <w:p w14:paraId="1D781DCD"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„Vieno universalaus atsakymo, ar visą sumą investuoti iš karto, ar tai daryti palaipsniui, nėra. Tačiau jei investavimo patirties neturite arba nerimaujate dėl rinkos svyravimų, gali būti lengviau pradėti nuo mažesnės sumos, o likusias lėšas investuoti dalimis, pavyzdžiui, kas mėnesį per pusę metų ar metus. Taip geriau suprasite savo reakciją į vertės pokyčius ir sumažinsite emocinių sprendimų riziką“, – teigia ekspertas.</w:t>
      </w:r>
    </w:p>
    <w:p w14:paraId="241C05F6"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Naujokams rekomenduojama rinktis paprastas, aiškias ir plačiai diversifikuotas priemones, kurių veikimą, riziką bei mokesčius jie supranta. Diversifikacija nepašalina nuostolių tikimybės, tačiau sumažina priklausomybę nuo vienos įmonės, šalies ar turto klasės rezultatų.</w:t>
      </w:r>
    </w:p>
    <w:p w14:paraId="621D6297" w14:textId="77777777" w:rsidR="00D2797B" w:rsidRPr="00D2797B" w:rsidRDefault="00D2797B" w:rsidP="00D2797B">
      <w:pPr>
        <w:spacing w:line="256" w:lineRule="auto"/>
        <w:jc w:val="both"/>
        <w:rPr>
          <w:rFonts w:ascii="Segoe UI" w:eastAsia="Segoe UI" w:hAnsi="Segoe UI" w:cs="Segoe UI"/>
          <w:b/>
          <w:bCs/>
        </w:rPr>
      </w:pPr>
      <w:r w:rsidRPr="00D2797B">
        <w:rPr>
          <w:rFonts w:ascii="Segoe UI" w:eastAsia="Segoe UI" w:hAnsi="Segoe UI" w:cs="Segoe UI"/>
          <w:b/>
          <w:bCs/>
        </w:rPr>
        <w:t>Nesivaikykite greitos grąžos</w:t>
      </w:r>
    </w:p>
    <w:p w14:paraId="1C5C2BDA"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lastRenderedPageBreak/>
        <w:t>Viena dažniausių klaidų – investuoti į nesuprantamą priemonę arba pernelyg didelę sumą sutelkti vienoje vietoje. Žmonės taip pat neretai susigundo tuo, kas neseniai demonstravo įspūdingą grąžą, nors praeities rezultatai sėkmės ateityje negarantuoja.</w:t>
      </w:r>
    </w:p>
    <w:p w14:paraId="170AFA61"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„Nereikėtų aklai pasikliauti trumpalaikėmis rinkos naujienomis, pažįstamų rekomendacijomis ar baime praleisti tariamai išskirtinę progą. Svarbu iš anksto numatyti, kaip elgsitės rinkoms svyruojant, ir nekeisti pasirinktos krypties vien dėl emocijų“, – pažymi G. Dirkstys.</w:t>
      </w:r>
    </w:p>
    <w:p w14:paraId="1B3406D9"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Nors ilgai sąskaitoje laikomų pinigų perkamąją galią mažina infliacija, dėl to nereikėtų visų santaupų nukreipti į vieną tariamai saugią investiciją. Nėra turto klasės, kuri nuo infliacijos patikimai apsaugotų visais laikotarpiais, todėl portfelis turėtų atitikti asmeninius tikslus, investavimo trukmę ir priimtiną riziką.</w:t>
      </w:r>
    </w:p>
    <w:p w14:paraId="35F781BC" w14:textId="77777777" w:rsidR="00D2797B" w:rsidRPr="00D2797B" w:rsidRDefault="00D2797B" w:rsidP="00D2797B">
      <w:pPr>
        <w:spacing w:line="256" w:lineRule="auto"/>
        <w:jc w:val="both"/>
        <w:rPr>
          <w:rFonts w:ascii="Segoe UI" w:eastAsia="Segoe UI" w:hAnsi="Segoe UI" w:cs="Segoe UI"/>
          <w:b/>
          <w:bCs/>
        </w:rPr>
      </w:pPr>
      <w:r w:rsidRPr="00D2797B">
        <w:rPr>
          <w:rFonts w:ascii="Segoe UI" w:eastAsia="Segoe UI" w:hAnsi="Segoe UI" w:cs="Segoe UI"/>
          <w:b/>
          <w:bCs/>
        </w:rPr>
        <w:t>Saugokitės „unikalių galimybių“</w:t>
      </w:r>
    </w:p>
    <w:p w14:paraId="7338C709"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Netikėtai gavus didesnę sumą galima tapti investicinių sukčių taikiniu. Jie naudojasi žmonių noru greitai įdarbinti pinigus, žada išskirtinę ar net garantuotą grąžą ir ragina apsispręsti nedelsiant.</w:t>
      </w:r>
    </w:p>
    <w:p w14:paraId="643897E2" w14:textId="77777777" w:rsidR="00D2797B" w:rsidRP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Įtarimų turėtų kelti neaiškus paslaugų teikėjas, pasiūlymas, gautas per socialinius tinklus ar netikėto skambučio metu, taip pat prašymas įdiegti nuotolinės prieigos programą arba atskleisti prisijungimo prie interneto banko duomenis.</w:t>
      </w:r>
    </w:p>
    <w:p w14:paraId="6A279D6E" w14:textId="77777777" w:rsidR="00D2797B" w:rsidRDefault="00D2797B" w:rsidP="00D2797B">
      <w:pPr>
        <w:spacing w:line="256" w:lineRule="auto"/>
        <w:jc w:val="both"/>
        <w:rPr>
          <w:rFonts w:ascii="Segoe UI" w:eastAsia="Segoe UI" w:hAnsi="Segoe UI" w:cs="Segoe UI"/>
        </w:rPr>
      </w:pPr>
      <w:r w:rsidRPr="00D2797B">
        <w:rPr>
          <w:rFonts w:ascii="Segoe UI" w:eastAsia="Segoe UI" w:hAnsi="Segoe UI" w:cs="Segoe UI"/>
        </w:rPr>
        <w:t>„Sukčiai stengiasi sudaryti įspūdį, kad pasiūlymui patikrinti nėra laiko. Tačiau teisėta investavimo galimybė nepradings vien todėl, kad informaciją patikrinsite oficialiuose šaltiniuose ar pasitarsite su specialistu. Jei esate spaudžiami veikti čia ir dabar, pokalbį geriausia nutraukti“, – pabrėžia G. Dirkstys.</w:t>
      </w:r>
    </w:p>
    <w:p w14:paraId="4305FA3F" w14:textId="77777777" w:rsidR="00D760B1" w:rsidRPr="00D2797B" w:rsidRDefault="00D760B1" w:rsidP="00D2797B">
      <w:pPr>
        <w:spacing w:line="256" w:lineRule="auto"/>
        <w:jc w:val="both"/>
        <w:rPr>
          <w:rFonts w:ascii="Segoe UI" w:eastAsia="Segoe UI" w:hAnsi="Segoe UI" w:cs="Segoe UI"/>
        </w:rPr>
      </w:pPr>
    </w:p>
    <w:p w14:paraId="19E84526" w14:textId="0F3E9ED4" w:rsidR="002E333B" w:rsidRPr="00D760B1" w:rsidRDefault="002E333B" w:rsidP="00EA18CF">
      <w:pPr>
        <w:spacing w:line="256" w:lineRule="auto"/>
        <w:jc w:val="both"/>
        <w:rPr>
          <w:rFonts w:ascii="Segoe UI" w:eastAsia="Segoe UI" w:hAnsi="Segoe UI" w:cs="Segoe UI"/>
          <w:sz w:val="20"/>
          <w:szCs w:val="20"/>
          <w:lang w:val="en-GB"/>
        </w:rPr>
      </w:pPr>
      <w:r w:rsidRPr="00D760B1">
        <w:rPr>
          <w:rFonts w:ascii="Segoe UI" w:eastAsia="Segoe UI" w:hAnsi="Segoe UI" w:cs="Segoe UI"/>
          <w:b/>
          <w:bCs/>
          <w:sz w:val="20"/>
          <w:szCs w:val="20"/>
        </w:rPr>
        <w:t>Apie „Luminor</w:t>
      </w:r>
      <w:r w:rsidR="00BF12CF" w:rsidRPr="00D760B1">
        <w:rPr>
          <w:rFonts w:ascii="Segoe UI" w:eastAsia="Segoe UI" w:hAnsi="Segoe UI" w:cs="Segoe UI"/>
          <w:b/>
          <w:bCs/>
          <w:sz w:val="20"/>
          <w:szCs w:val="20"/>
        </w:rPr>
        <w:t>“</w:t>
      </w:r>
      <w:r w:rsidRPr="00D760B1">
        <w:rPr>
          <w:rFonts w:ascii="Segoe UI" w:eastAsia="Segoe UI" w:hAnsi="Segoe UI" w:cs="Segoe UI"/>
          <w:b/>
          <w:bCs/>
          <w:sz w:val="20"/>
          <w:szCs w:val="20"/>
        </w:rPr>
        <w:t>:</w:t>
      </w:r>
    </w:p>
    <w:p w14:paraId="0FE8F3B0" w14:textId="3EC1DFB0" w:rsidR="00C62420" w:rsidRPr="00D760B1" w:rsidRDefault="005E396E" w:rsidP="00984699">
      <w:pPr>
        <w:spacing w:after="0" w:line="240" w:lineRule="auto"/>
        <w:rPr>
          <w:rFonts w:ascii="Segoe UI" w:eastAsia="Segoe UI" w:hAnsi="Segoe UI" w:cs="Segoe UI"/>
          <w:sz w:val="20"/>
          <w:szCs w:val="20"/>
        </w:rPr>
      </w:pPr>
      <w:r w:rsidRPr="00D760B1">
        <w:rPr>
          <w:rFonts w:ascii="Segoe UI" w:eastAsia="Segoe UI" w:hAnsi="Segoe UI" w:cs="Segoe UI"/>
          <w:sz w:val="20"/>
          <w:szCs w:val="20"/>
        </w:rPr>
        <w:t>„Luminor</w:t>
      </w:r>
      <w:r w:rsidR="00BF12CF" w:rsidRPr="00D760B1">
        <w:rPr>
          <w:rFonts w:ascii="Segoe UI" w:eastAsia="Segoe UI" w:hAnsi="Segoe UI" w:cs="Segoe UI"/>
          <w:sz w:val="20"/>
          <w:szCs w:val="20"/>
        </w:rPr>
        <w:t>“</w:t>
      </w:r>
      <w:r w:rsidRPr="00D760B1">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„Luminor</w:t>
      </w:r>
      <w:r w:rsidR="00BF12CF" w:rsidRPr="00D760B1">
        <w:rPr>
          <w:rFonts w:ascii="Segoe UI" w:eastAsia="Segoe UI" w:hAnsi="Segoe UI" w:cs="Segoe UI"/>
          <w:sz w:val="20"/>
          <w:szCs w:val="20"/>
        </w:rPr>
        <w:t>“</w:t>
      </w:r>
      <w:r w:rsidRPr="00D760B1">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D760B1">
          <w:rPr>
            <w:rStyle w:val="Hipersaitas"/>
            <w:rFonts w:ascii="Segoe UI" w:eastAsia="Segoe UI" w:hAnsi="Segoe UI" w:cs="Segoe UI"/>
            <w:sz w:val="20"/>
            <w:szCs w:val="20"/>
          </w:rPr>
          <w:t>čia</w:t>
        </w:r>
      </w:hyperlink>
      <w:r w:rsidRPr="00D760B1">
        <w:rPr>
          <w:rFonts w:ascii="Segoe UI" w:eastAsia="Segoe UI" w:hAnsi="Segoe UI" w:cs="Segoe UI"/>
          <w:sz w:val="20"/>
          <w:szCs w:val="20"/>
        </w:rPr>
        <w:t>.</w:t>
      </w:r>
    </w:p>
    <w:p w14:paraId="68FCE6C1" w14:textId="77777777" w:rsidR="009B2D39" w:rsidRPr="00D760B1" w:rsidRDefault="009B2D39" w:rsidP="00984699">
      <w:pPr>
        <w:spacing w:after="0" w:line="240" w:lineRule="auto"/>
        <w:rPr>
          <w:rFonts w:ascii="Segoe UI" w:eastAsia="Segoe UI" w:hAnsi="Segoe UI" w:cs="Segoe UI"/>
          <w:sz w:val="20"/>
          <w:szCs w:val="20"/>
        </w:rPr>
      </w:pPr>
    </w:p>
    <w:p w14:paraId="4627EE2F" w14:textId="3F0BC3E1" w:rsidR="002E333B" w:rsidRPr="00D760B1" w:rsidRDefault="002E333B" w:rsidP="00984699">
      <w:pPr>
        <w:spacing w:after="0" w:line="240" w:lineRule="auto"/>
        <w:rPr>
          <w:rFonts w:ascii="Segoe UI" w:eastAsia="Segoe UI" w:hAnsi="Segoe UI" w:cs="Segoe UI"/>
          <w:b/>
          <w:bCs/>
          <w:sz w:val="20"/>
          <w:szCs w:val="20"/>
        </w:rPr>
      </w:pPr>
      <w:r w:rsidRPr="00D760B1">
        <w:rPr>
          <w:rFonts w:ascii="Segoe UI" w:eastAsia="Segoe UI" w:hAnsi="Segoe UI" w:cs="Segoe UI"/>
          <w:b/>
          <w:bCs/>
          <w:sz w:val="20"/>
          <w:szCs w:val="20"/>
        </w:rPr>
        <w:t>Daugiau informacijos:</w:t>
      </w:r>
    </w:p>
    <w:p w14:paraId="73093C4F" w14:textId="77777777" w:rsidR="00294878" w:rsidRPr="00D760B1" w:rsidRDefault="00294878" w:rsidP="00984699">
      <w:pPr>
        <w:spacing w:after="0" w:line="240" w:lineRule="auto"/>
        <w:rPr>
          <w:rFonts w:ascii="Segoe UI" w:eastAsia="Segoe UI" w:hAnsi="Segoe UI" w:cs="Segoe UI"/>
          <w:sz w:val="20"/>
          <w:szCs w:val="20"/>
        </w:rPr>
      </w:pPr>
      <w:r w:rsidRPr="00D760B1">
        <w:rPr>
          <w:rFonts w:ascii="Segoe UI" w:eastAsia="Segoe UI" w:hAnsi="Segoe UI" w:cs="Segoe UI"/>
          <w:sz w:val="20"/>
          <w:szCs w:val="20"/>
        </w:rPr>
        <w:t>Šarūnas Kubilius</w:t>
      </w:r>
    </w:p>
    <w:p w14:paraId="445B9869" w14:textId="49920426" w:rsidR="00294878" w:rsidRPr="00D760B1" w:rsidRDefault="00294878" w:rsidP="00984699">
      <w:pPr>
        <w:spacing w:after="0" w:line="240" w:lineRule="auto"/>
        <w:rPr>
          <w:rFonts w:ascii="Segoe UI" w:eastAsia="Segoe UI" w:hAnsi="Segoe UI" w:cs="Segoe UI"/>
          <w:sz w:val="20"/>
          <w:szCs w:val="20"/>
        </w:rPr>
      </w:pPr>
      <w:r w:rsidRPr="00D760B1">
        <w:rPr>
          <w:rFonts w:ascii="Segoe UI" w:eastAsia="Segoe UI" w:hAnsi="Segoe UI" w:cs="Segoe UI"/>
          <w:sz w:val="20"/>
          <w:szCs w:val="20"/>
        </w:rPr>
        <w:t>„Luminor</w:t>
      </w:r>
      <w:r w:rsidR="00BF12CF" w:rsidRPr="00D760B1">
        <w:rPr>
          <w:rFonts w:ascii="Segoe UI" w:eastAsia="Segoe UI" w:hAnsi="Segoe UI" w:cs="Segoe UI"/>
          <w:sz w:val="20"/>
          <w:szCs w:val="20"/>
        </w:rPr>
        <w:t>“</w:t>
      </w:r>
      <w:r w:rsidRPr="00D760B1">
        <w:rPr>
          <w:rFonts w:ascii="Segoe UI" w:eastAsia="Segoe UI" w:hAnsi="Segoe UI" w:cs="Segoe UI"/>
          <w:sz w:val="20"/>
          <w:szCs w:val="20"/>
        </w:rPr>
        <w:t xml:space="preserve"> komunikacijos projektų vadovas</w:t>
      </w:r>
    </w:p>
    <w:p w14:paraId="08F2DBC6" w14:textId="77777777" w:rsidR="00294878" w:rsidRPr="00D760B1" w:rsidRDefault="00294878" w:rsidP="00984699">
      <w:pPr>
        <w:spacing w:after="0" w:line="240" w:lineRule="auto"/>
        <w:rPr>
          <w:rFonts w:ascii="Segoe UI" w:eastAsia="Segoe UI" w:hAnsi="Segoe UI" w:cs="Segoe UI"/>
          <w:sz w:val="20"/>
          <w:szCs w:val="20"/>
        </w:rPr>
      </w:pPr>
      <w:r w:rsidRPr="00D760B1">
        <w:rPr>
          <w:rFonts w:ascii="Segoe UI" w:eastAsia="Segoe UI" w:hAnsi="Segoe UI" w:cs="Segoe UI"/>
          <w:sz w:val="20"/>
          <w:szCs w:val="20"/>
        </w:rPr>
        <w:t>Tel.: +370 623 48086</w:t>
      </w:r>
    </w:p>
    <w:p w14:paraId="558320C0" w14:textId="2EAF3FA0" w:rsidR="00786D9C" w:rsidRPr="00D760B1" w:rsidRDefault="00294878" w:rsidP="00984699">
      <w:pPr>
        <w:spacing w:after="0" w:line="240" w:lineRule="auto"/>
        <w:rPr>
          <w:rFonts w:ascii="Segoe UI" w:eastAsia="Segoe UI" w:hAnsi="Segoe UI" w:cs="Segoe UI"/>
          <w:sz w:val="20"/>
          <w:szCs w:val="20"/>
        </w:rPr>
      </w:pPr>
      <w:r w:rsidRPr="00D760B1">
        <w:rPr>
          <w:rFonts w:ascii="Segoe UI" w:eastAsia="Segoe UI" w:hAnsi="Segoe UI" w:cs="Segoe UI"/>
          <w:sz w:val="20"/>
          <w:szCs w:val="20"/>
        </w:rPr>
        <w:t xml:space="preserve">El. p.: </w:t>
      </w:r>
      <w:hyperlink r:id="rId8" w:history="1">
        <w:r w:rsidRPr="00D760B1">
          <w:rPr>
            <w:rStyle w:val="Hipersaitas"/>
            <w:rFonts w:ascii="Segoe UI" w:eastAsia="Segoe UI" w:hAnsi="Segoe UI" w:cs="Segoe UI"/>
            <w:sz w:val="20"/>
            <w:szCs w:val="20"/>
          </w:rPr>
          <w:t>sarunas.kubilius@luminorgroup.com</w:t>
        </w:r>
      </w:hyperlink>
    </w:p>
    <w:sectPr w:rsidR="00786D9C" w:rsidRPr="00D760B1"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A807A" w14:textId="77777777" w:rsidR="008A37C5" w:rsidRDefault="008A37C5">
      <w:pPr>
        <w:spacing w:after="0" w:line="240" w:lineRule="auto"/>
      </w:pPr>
      <w:r>
        <w:separator/>
      </w:r>
    </w:p>
  </w:endnote>
  <w:endnote w:type="continuationSeparator" w:id="0">
    <w:p w14:paraId="579285E7" w14:textId="77777777" w:rsidR="008A37C5" w:rsidRDefault="008A3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25D7E" w14:textId="77777777" w:rsidR="008A37C5" w:rsidRDefault="008A37C5">
      <w:pPr>
        <w:spacing w:after="0" w:line="240" w:lineRule="auto"/>
      </w:pPr>
      <w:r>
        <w:separator/>
      </w:r>
    </w:p>
  </w:footnote>
  <w:footnote w:type="continuationSeparator" w:id="0">
    <w:p w14:paraId="71BEB34D" w14:textId="77777777" w:rsidR="008A37C5" w:rsidRDefault="008A3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B40"/>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65D96"/>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429"/>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3"/>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2C7F"/>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3EFA"/>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3EA6"/>
    <w:rsid w:val="0025434E"/>
    <w:rsid w:val="00255657"/>
    <w:rsid w:val="00255B28"/>
    <w:rsid w:val="00255C20"/>
    <w:rsid w:val="00256166"/>
    <w:rsid w:val="002564F2"/>
    <w:rsid w:val="002567B3"/>
    <w:rsid w:val="00256F40"/>
    <w:rsid w:val="00257558"/>
    <w:rsid w:val="002579FA"/>
    <w:rsid w:val="00257EEC"/>
    <w:rsid w:val="00260268"/>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A6A"/>
    <w:rsid w:val="00357C06"/>
    <w:rsid w:val="00357C92"/>
    <w:rsid w:val="00357F77"/>
    <w:rsid w:val="003603DE"/>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44D"/>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396"/>
    <w:rsid w:val="00413711"/>
    <w:rsid w:val="004143A3"/>
    <w:rsid w:val="004159B4"/>
    <w:rsid w:val="004165BF"/>
    <w:rsid w:val="00416E7E"/>
    <w:rsid w:val="004178FE"/>
    <w:rsid w:val="00417913"/>
    <w:rsid w:val="00417F6A"/>
    <w:rsid w:val="00420216"/>
    <w:rsid w:val="00420680"/>
    <w:rsid w:val="0042160E"/>
    <w:rsid w:val="00423178"/>
    <w:rsid w:val="0042368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4469"/>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50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87"/>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2FB2"/>
    <w:rsid w:val="004B3110"/>
    <w:rsid w:val="004B3223"/>
    <w:rsid w:val="004B356B"/>
    <w:rsid w:val="004B3F66"/>
    <w:rsid w:val="004B3F70"/>
    <w:rsid w:val="004B3FDB"/>
    <w:rsid w:val="004B6097"/>
    <w:rsid w:val="004B613C"/>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BE1"/>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2BEB"/>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AA4"/>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326"/>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460"/>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5C"/>
    <w:rsid w:val="00847287"/>
    <w:rsid w:val="00847BE3"/>
    <w:rsid w:val="00851C64"/>
    <w:rsid w:val="008543D9"/>
    <w:rsid w:val="008548EF"/>
    <w:rsid w:val="008552E8"/>
    <w:rsid w:val="00855D44"/>
    <w:rsid w:val="00855E19"/>
    <w:rsid w:val="00855E5F"/>
    <w:rsid w:val="008568F3"/>
    <w:rsid w:val="00856E57"/>
    <w:rsid w:val="0085711D"/>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3D2C"/>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37C5"/>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05"/>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04D"/>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ADA"/>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739"/>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ADE"/>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35"/>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0BB"/>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488"/>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7C"/>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25"/>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1D26"/>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A30"/>
    <w:rsid w:val="00CD301B"/>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2797B"/>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49F6"/>
    <w:rsid w:val="00D351A4"/>
    <w:rsid w:val="00D3565D"/>
    <w:rsid w:val="00D3604A"/>
    <w:rsid w:val="00D36F38"/>
    <w:rsid w:val="00D40067"/>
    <w:rsid w:val="00D404C9"/>
    <w:rsid w:val="00D40792"/>
    <w:rsid w:val="00D4217C"/>
    <w:rsid w:val="00D4287B"/>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0B1"/>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97C"/>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529E"/>
    <w:rsid w:val="00E656E7"/>
    <w:rsid w:val="00E66D5B"/>
    <w:rsid w:val="00E66E86"/>
    <w:rsid w:val="00E670B1"/>
    <w:rsid w:val="00E70496"/>
    <w:rsid w:val="00E71337"/>
    <w:rsid w:val="00E7175E"/>
    <w:rsid w:val="00E71BD2"/>
    <w:rsid w:val="00E73E84"/>
    <w:rsid w:val="00E74E24"/>
    <w:rsid w:val="00E76EFE"/>
    <w:rsid w:val="00E77149"/>
    <w:rsid w:val="00E77938"/>
    <w:rsid w:val="00E77CAD"/>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8CF"/>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94C"/>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701"/>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5E9"/>
    <w:rsid w:val="00F519D1"/>
    <w:rsid w:val="00F51A61"/>
    <w:rsid w:val="00F51CAA"/>
    <w:rsid w:val="00F51CF6"/>
    <w:rsid w:val="00F51E82"/>
    <w:rsid w:val="00F528D6"/>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4081"/>
    <w:rsid w:val="00FC4690"/>
    <w:rsid w:val="00FC46FB"/>
    <w:rsid w:val="00FC4F13"/>
    <w:rsid w:val="00FC5150"/>
    <w:rsid w:val="00FC5A50"/>
    <w:rsid w:val="00FC5F42"/>
    <w:rsid w:val="00FC63F4"/>
    <w:rsid w:val="00FC7B42"/>
    <w:rsid w:val="00FD0285"/>
    <w:rsid w:val="00FD05E8"/>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semiHidden/>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semiHidden/>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3485</TotalTime>
  <Pages>2</Pages>
  <Words>759</Words>
  <Characters>4329</Characters>
  <Application>Microsoft Office Word</Application>
  <DocSecurity>0</DocSecurity>
  <Lines>36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588</cp:revision>
  <dcterms:created xsi:type="dcterms:W3CDTF">2025-11-10T12:23:00Z</dcterms:created>
  <dcterms:modified xsi:type="dcterms:W3CDTF">2026-09-23T11:53:00Z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