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rtl w:val="0"/>
        </w:rPr>
        <w:t xml:space="preserve">2026 09 </w:t>
      </w:r>
      <w:r w:rsidDel="00000000" w:rsidR="00000000" w:rsidRPr="00000000">
        <w:rPr>
          <w:rFonts w:ascii="Times New Roman" w:cs="Times New Roman" w:eastAsia="Times New Roman" w:hAnsi="Times New Roman"/>
          <w:b w:val="1"/>
          <w:bCs w:val="1"/>
          <w:rtl w:val="0"/>
        </w:rPr>
        <w:t xml:space="preserve">10</w:t>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sz w:val="26"/>
          <w:szCs w:val="26"/>
          <w:rtl w:val="0"/>
        </w:rPr>
        <w:t xml:space="preserve">Kiek interneto „suvalgo“ viena atostogų diena? „Tele2“ paskaičiavo, kiek GB reikia kelionei </w:t>
      </w: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„Tele2“ didieji duomenys rodo, kad per 4–7 naktų kelionę Lietuvoje vienas žmogus mobiliojo interneto sunaudoja vidutiniškai 44 proc. daugiau nei įprastomis dienomis namuose. Daugiau duomenų nei įprastai naudoja beveik du trečdaliai keliautojų, o kai kuriuose šalies kurortuose skirtumas tampa dar ryškesnis. </w:t>
      </w:r>
    </w:p>
    <w:p w:rsidR="00000000" w:rsidDel="00000000" w:rsidP="00000000" w:rsidRDefault="00000000" w:rsidRPr="00000000" w14:paraId="00000006">
      <w:pPr>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Savaitės išvykoje interneto poreikis – didžiausias</w:t>
      </w:r>
    </w:p>
    <w:p w:rsidR="00000000" w:rsidDel="00000000" w:rsidP="00000000" w:rsidRDefault="00000000" w:rsidRPr="00000000" w14:paraId="0000000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„Tele2“ duomenys rodo, kad išvykus iš namų mobiliojo interneto vartojimas pastebimai auga su kiekviena diena.</w:t>
      </w:r>
    </w:p>
    <w:p w:rsidR="00000000" w:rsidDel="00000000" w:rsidP="00000000" w:rsidRDefault="00000000" w:rsidRPr="00000000" w14:paraId="0000000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Vienos nakties išvykoje žmogus sunaudoja maždaug 5 proc. mažiau mobiliųjų duomenų nei įprastą dieną namuose. Tačiau 2–3 naktų kelionėje suvartojimas jau išauga 28 proc., o 4–7 naktų išvykoje pasiekia aukščiausią lygį – yra 44 proc. didesnis. Ilgesnėse, 8–13 naktų kelionėse skirtumas kiek sumažėja, tačiau vis tiek siekia 32 proc. daugiau įprasto vartojimo. Be to, 4–7 naktų kelionėse net 65 proc. žmonių mobiliojo interneto sunaudoja daugiau nei būdami namuose.</w:t>
      </w:r>
    </w:p>
    <w:p w:rsidR="00000000" w:rsidDel="00000000" w:rsidP="00000000" w:rsidRDefault="00000000" w:rsidRPr="00000000" w14:paraId="0000000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„Kelionėje interneto poreikis labai priklauso nuo žmogaus įpročių. Vienam jo daugiausia reikia navigacijai, žinutėms ar retkarčiais pasitikrinti informaciją, o kitas aktyviai kelia nuotraukas ir vaizdo įrašus, naudojasi socialiniais tinklais ar žiūri vaizdo turinį. Todėl vieno visiems tinkamo recepto nėra – prieš išvykstant verta įsivertinti, kaip telefonu naudojamės kasdien ir ar kelionėje šie įpročiai nesikeis“, – sako „Tele2“ klientų išlaikymo ir analitikos vadovė Inga Rudinskaitė.</w:t>
      </w:r>
    </w:p>
    <w:p w:rsidR="00000000" w:rsidDel="00000000" w:rsidP="00000000" w:rsidRDefault="00000000" w:rsidRPr="00000000" w14:paraId="0000000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Palangoje – beveik dvigubai daugiau nei namuose</w:t>
      </w:r>
    </w:p>
    <w:p w:rsidR="00000000" w:rsidDel="00000000" w:rsidP="00000000" w:rsidRDefault="00000000" w:rsidRPr="00000000" w14:paraId="0000001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 ryškesni skirtumai matomi žvelgiant į konkrečias Lietuvos vietoves. 4–13 naktų kelionėse labiausiai išsiskiria Palanga – čia apsistojęs žmogus per dieną mobiliųjų duomenų sunaudoja vidutiniškai 86 proc. daugiau nei būdamas savo namuose.</w:t>
      </w:r>
    </w:p>
    <w:p w:rsidR="00000000" w:rsidDel="00000000" w:rsidP="00000000" w:rsidRDefault="00000000" w:rsidRPr="00000000" w14:paraId="0000001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Birštone skirtumas siekia 78 proc., Neringoje – 76 proc., Vilniuje – 62 proc., Druskininkuose – 61 proc., o Klaipėdoje – 58 proc.</w:t>
      </w:r>
    </w:p>
    <w:p w:rsidR="00000000" w:rsidDel="00000000" w:rsidP="00000000" w:rsidRDefault="00000000" w:rsidRPr="00000000" w14:paraId="0000001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Tokį pokytį galima sieti su pasikeitusia kelionės rutina. Išvykus daugiau laiko praleidžiama ne namuose, todėl telefonas tampa svarbiu kelionės įrankiu.</w:t>
      </w:r>
    </w:p>
    <w:p w:rsidR="00000000" w:rsidDel="00000000" w:rsidP="00000000" w:rsidRDefault="00000000" w:rsidRPr="00000000" w14:paraId="0000001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Kelionėje telefonas tampa dar svarbesnis</w:t>
      </w:r>
    </w:p>
    <w:p w:rsidR="00000000" w:rsidDel="00000000" w:rsidP="00000000" w:rsidRDefault="00000000" w:rsidRPr="00000000" w14:paraId="0000001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Didesnis mobiliojo interneto poreikis reiškia, kad prieš išvykstant verta įvertinti ne tik tai, kur ir kiek laiko bus keliaujama, bet ir savo kasdienius naudojimosi telefonu įpročius. Tai ypač aktualu vykstant į užsienį, kur internetas dažnai reikalingas ne tik pramogoms, bet ir navigacijai, bilietams, apgyvendinimo informacijai, mokėjimams ar bendravimui.</w:t>
      </w:r>
    </w:p>
    <w:p w:rsidR="00000000" w:rsidDel="00000000" w:rsidP="00000000" w:rsidRDefault="00000000" w:rsidRPr="00000000" w14:paraId="0000001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„Tele2“ duomenimis, 3–4 dienų kelionėje į užsienį vidutiniškai sunaudojama apie 3 GB mobiliojo interneto, 5–7 dienų – apie 6 GB, 8–10 dienų – maždaug 8 GB, o 11–13 dienų kelionėje – apie 11 GB. Aktyviausiai internetu besinaudojančiam dešimtadaliui keliautojų per dieną prireikia daugiau nei 2 GB, tad savaitės atostogoms gali reikėti ir apie 14 GB ar daugiau.</w:t>
      </w:r>
    </w:p>
    <w:p w:rsidR="00000000" w:rsidDel="00000000" w:rsidP="00000000" w:rsidRDefault="00000000" w:rsidRPr="00000000" w14:paraId="0000001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Pakankamu mobiliųjų duomenų kiekiu verta pasirūpinti ir dėl saugumo. Viešbučio, oro uosto ar kavinės „Wi-Fi“ gali būti patogus, tačiau vieši tinklai ne visada yra tinkamai apsaugoti.</w:t>
      </w:r>
    </w:p>
    <w:p w:rsidR="00000000" w:rsidDel="00000000" w:rsidP="00000000" w:rsidRDefault="00000000" w:rsidRPr="00000000" w14:paraId="0000001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„Nemokamas „Wi-Fi“ kelionėje dažnai atrodo kaip savaime suprantamas pasirinkimas, tačiau jungiantis prie viešo tinklo ne visada žinome, kas jį administruoja ir kiek jis apsaugotas. Todėl atliekant mokėjimus, jungiantis prie bankininkystės, el. pašto ar kitų svarbių paskyrų saugiau naudoti savo mobilųjį internetą. Pakankamas GB kiekis čia tampa ne tik patogumo, bet ir saugumo klausimu, juo labiau, kad dabar interneto duomenų papildomai užsisakyti tiek Lietuvoje, tiek užsienyje jau nebėra prabanga – tiesiog verta pasidomėti siūlomais paketais“, – sako I. Rudinskaitė.</w:t>
      </w:r>
    </w:p>
    <w:p w:rsidR="00000000" w:rsidDel="00000000" w:rsidP="00000000" w:rsidRDefault="00000000" w:rsidRPr="00000000" w14:paraId="0000002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Europos ekonominės erdvės šalyse galioja tarptinklinio ryšio principas „kaip namuose“, tačiau į konkretų planą įtrauktas duomenų kiekis gali būti ribotas. Vykstant už ES (ar EEE) ribų, svarbu prisiminti, kad naudojami duomenys apmokestinami papildomai, o norintiems sutaupyti verta pasidomėti papildomais duomenų paketais – tai kur kas pigiau ir patogiau.</w:t>
      </w:r>
    </w:p>
    <w:p w:rsidR="00000000" w:rsidDel="00000000" w:rsidP="00000000" w:rsidRDefault="00000000" w:rsidRPr="00000000" w14:paraId="0000002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Papildomų duomenų prireikus keliaujant po Lietuvą, galima pasinaudoti „GB prenumerata“, kuri leidžia pasididinti jau turimą GB kiekį, nekeičiant paties plano. Prenumeratą galima užsakyti ir bet kada atšaukti savitarnoje.</w:t>
      </w:r>
    </w:p>
    <w:p w:rsidR="00000000" w:rsidDel="00000000" w:rsidP="00000000" w:rsidRDefault="00000000" w:rsidRPr="00000000" w14:paraId="0000002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Daugiau informacijos:</w:t>
      </w:r>
    </w:p>
    <w:p w:rsidR="00000000" w:rsidDel="00000000" w:rsidP="00000000" w:rsidRDefault="00000000" w:rsidRPr="00000000" w14:paraId="00000026">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Asta Buitkutė</w:t>
      </w:r>
    </w:p>
    <w:p w:rsidR="00000000" w:rsidDel="00000000" w:rsidP="00000000" w:rsidRDefault="00000000" w:rsidRPr="00000000" w14:paraId="00000027">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„Tele2“ atstovė ryšiams su visuomene</w:t>
      </w:r>
    </w:p>
    <w:p w:rsidR="00000000" w:rsidDel="00000000" w:rsidP="00000000" w:rsidRDefault="00000000" w:rsidRPr="00000000" w14:paraId="00000028">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 +370 668 00467</w:t>
      </w:r>
    </w:p>
    <w:p w:rsidR="00000000" w:rsidDel="00000000" w:rsidP="00000000" w:rsidRDefault="00000000" w:rsidRPr="00000000" w14:paraId="00000029">
      <w:pPr>
        <w:jc w:val="both"/>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000000"/>
          <w:rtl w:val="0"/>
        </w:rPr>
        <w:t xml:space="preserve">@ asta.buitkute@tele2.com</w:t>
      </w:r>
      <w:r w:rsidDel="00000000" w:rsidR="00000000" w:rsidRPr="00000000">
        <w:rPr>
          <w:rtl w:val="0"/>
        </w:rPr>
      </w:r>
    </w:p>
    <w:sectPr>
      <w:headerReference r:id="rId7" w:type="default"/>
      <w:footerReference r:id="rId8" w:type="default"/>
      <w:pgSz w:h="16840" w:w="11900" w:orient="portrait"/>
      <w:pgMar w:bottom="1440" w:top="1440"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Apie „Tele2“</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-923921</wp:posOffset>
              </wp:positionH>
              <wp:positionV relativeFrom="paragraph">
                <wp:posOffset>115050</wp:posOffset>
              </wp:positionV>
              <wp:extent cx="7575550" cy="292100"/>
              <wp:effectExtent b="0" l="0" r="0" t="0"/>
              <wp:wrapNone/>
              <wp:docPr descr="{&quot;HashCode&quot;:-639942987,&quot;Height&quot;:842.0,&quot;Width&quot;:595.0,&quot;Placement&quot;:&quot;Footer&quot;,&quot;Index&quot;:&quot;Primary&quot;,&quot;Section&quot;:1,&quot;Top&quot;:0.0,&quot;Left&quot;:0.0}" id="3" name=""/>
              <a:graphic>
                <a:graphicData uri="http://schemas.microsoft.com/office/word/2010/wordprocessingShape">
                  <wps:wsp>
                    <wps:cNvSpPr/>
                    <wps:cNvPr id="2" name="Shape 2"/>
                    <wps:spPr>
                      <a:xfrm>
                        <a:off x="1567750" y="3643475"/>
                        <a:ext cx="7556500" cy="273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b" bIns="0" lIns="25400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-923921</wp:posOffset>
              </wp:positionH>
              <wp:positionV relativeFrom="paragraph">
                <wp:posOffset>115050</wp:posOffset>
              </wp:positionV>
              <wp:extent cx="7575550" cy="292100"/>
              <wp:effectExtent b="0" l="0" r="0" t="0"/>
              <wp:wrapNone/>
              <wp:docPr descr="{&quot;HashCode&quot;:-639942987,&quot;Height&quot;:842.0,&quot;Width&quot;:595.0,&quot;Placement&quot;:&quot;Footer&quot;,&quot;Index&quot;:&quot;Primary&quot;,&quot;Section&quot;:1,&quot;Top&quot;:0.0,&quot;Left&quot;:0.0}" id="3" name="image2.png"/>
              <a:graphic>
                <a:graphicData uri="http://schemas.openxmlformats.org/drawingml/2006/picture">
                  <pic:pic>
                    <pic:nvPicPr>
                      <pic:cNvPr descr="{&quot;HashCode&quot;:-639942987,&quot;Height&quot;:842.0,&quot;Width&quot;:595.0,&quot;Placement&quot;:&quot;Footer&quot;,&quot;Index&quot;:&quot;Primary&quot;,&quot;Section&quot;:1,&quot;Top&quot;:0.0,&quot;Left&quot;:0.0}" id="0" name="image2.png"/>
                      <pic:cNvPicPr preferRelativeResize="0"/>
                    </pic:nvPicPr>
                    <pic:blipFill>
                      <a:blip r:embed="rId1"/>
                      <a:srcRect/>
                      <a:stretch>
                        <a:fillRect/>
                      </a:stretch>
                    </pic:blipFill>
                    <pic:spPr>
                      <a:xfrm>
                        <a:off x="0" y="0"/>
                        <a:ext cx="7575550" cy="292100"/>
                      </a:xfrm>
                      <a:prstGeom prst="rect"/>
                      <a:ln/>
                    </pic:spPr>
                  </pic:pic>
                </a:graphicData>
              </a:graphic>
            </wp:anchor>
          </w:drawing>
        </mc:Fallback>
      </mc:AlternateContent>
    </w:r>
  </w:p>
  <w:p w:rsidR="00000000" w:rsidDel="00000000" w:rsidP="00000000" w:rsidRDefault="00000000" w:rsidRPr="00000000" w14:paraId="0000002C">
    <w:pPr>
      <w:jc w:val="both"/>
      <w:rPr>
        <w:rFonts w:ascii="Arial" w:cs="Arial" w:eastAsia="Arial" w:hAnsi="Arial"/>
        <w:color w:val="0000ff"/>
        <w:sz w:val="18"/>
        <w:szCs w:val="18"/>
        <w:u w:val="single"/>
      </w:rPr>
    </w:pPr>
    <w:r w:rsidDel="00000000" w:rsidR="00000000" w:rsidRPr="00000000">
      <w:rPr>
        <w:rFonts w:ascii="Arial" w:cs="Arial" w:eastAsia="Arial" w:hAnsi="Arial"/>
        <w:sz w:val="18"/>
        <w:szCs w:val="18"/>
        <w:rtl w:val="0"/>
      </w:rPr>
      <w:t xml:space="preserve">„Tele2“ nuolatos siekia teikti geriausius pasiūlymus ir siūlyti mažiausias kainas rinkoje. Bendrovė teikia mobiliojo ir fiksuoto ryšio, duomenų perdavimo, kabelinės televizijos, turinio ir daiktų interneto sprendimų paslaugas milijonams klientų. Nuo 1993 m., kai Jan Stenbeck įkūrė bendrovę, ji tapo rimtu konkurentu buvusioms valstybinėms monopolijoms ir kitiems ryšio tiekėjams. Nuo 1996 m. „Tele2“ įtraukta į NASDAQ OMX Stokholmo vertybinių popierių biržos sąrašus. Lietuvoje „Tele2“ pradėjo veiklą 2000 metais. Aplankykite mus </w:t>
    </w:r>
    <w:hyperlink r:id="rId2">
      <w:r w:rsidDel="00000000" w:rsidR="00000000" w:rsidRPr="00000000">
        <w:rPr>
          <w:rFonts w:ascii="Arial" w:cs="Arial" w:eastAsia="Arial" w:hAnsi="Arial"/>
          <w:color w:val="0000ff"/>
          <w:sz w:val="18"/>
          <w:szCs w:val="18"/>
          <w:u w:val="single"/>
          <w:rtl w:val="0"/>
        </w:rPr>
        <w:t xml:space="preserve">www.tele2.lt</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4753610</wp:posOffset>
          </wp:positionH>
          <wp:positionV relativeFrom="paragraph">
            <wp:posOffset>-266063</wp:posOffset>
          </wp:positionV>
          <wp:extent cx="1046191" cy="557969"/>
          <wp:effectExtent b="0" l="0" r="0" t="0"/>
          <wp:wrapNone/>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46191" cy="557969"/>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www.tele2.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H8Uq0pXZmjuBZ1XiaRijlo4uFQ==">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ecca9737-3fb7-4a23-a452-5fd2dddae788_Enabled">
    <vt:lpwstr>true</vt:lpwstr>
  </property>
  <property fmtid="{D5CDD505-2E9C-101B-9397-08002B2CF9AE}" pid="3" name="MSIP_Label_ecca9737-3fb7-4a23-a452-5fd2dddae788_SetDate">
    <vt:lpwstr>2021-07-05T05:13:11Z</vt:lpwstr>
  </property>
  <property fmtid="{D5CDD505-2E9C-101B-9397-08002B2CF9AE}" pid="4" name="MSIP_Label_ecca9737-3fb7-4a23-a452-5fd2dddae788_Method">
    <vt:lpwstr>Standard</vt:lpwstr>
  </property>
  <property fmtid="{D5CDD505-2E9C-101B-9397-08002B2CF9AE}" pid="5" name="MSIP_Label_ecca9737-3fb7-4a23-a452-5fd2dddae788_Name">
    <vt:lpwstr>Internal</vt:lpwstr>
  </property>
  <property fmtid="{D5CDD505-2E9C-101B-9397-08002B2CF9AE}" pid="6" name="MSIP_Label_ecca9737-3fb7-4a23-a452-5fd2dddae788_SiteId">
    <vt:lpwstr>76431109-ff89-42c2-8781-a07ca07a2d57</vt:lpwstr>
  </property>
  <property fmtid="{D5CDD505-2E9C-101B-9397-08002B2CF9AE}" pid="7" name="MSIP_Label_ecca9737-3fb7-4a23-a452-5fd2dddae788_ActionId">
    <vt:lpwstr>55c7c224-13ca-42fc-9f2a-8bfe461c24fc</vt:lpwstr>
  </property>
  <property fmtid="{D5CDD505-2E9C-101B-9397-08002B2CF9AE}" pid="8" name="MSIP_Label_ecca9737-3fb7-4a23-a452-5fd2dddae788_ContentBits">
    <vt:lpwstr>2</vt:lpwstr>
  </property>
  <property fmtid="{D5CDD505-2E9C-101B-9397-08002B2CF9AE}" pid="9" name="GrammarlyDocumentId">
    <vt:lpwstr>a7bab780030ea9a742b2af2ed669654013791b30c7984ad079e31a1d543ee316</vt:lpwstr>
  </property>
</Properties>
</file>