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F230E" w14:textId="484AEB04" w:rsidR="00616D9F" w:rsidRDefault="00EF3876" w:rsidP="00616D9F">
      <w:pPr>
        <w:rPr>
          <w:rFonts w:ascii="Segoe UI" w:eastAsia="Segoe UI" w:hAnsi="Segoe UI" w:cs="Segoe UI"/>
        </w:rPr>
      </w:pPr>
      <w:r w:rsidRPr="00182867">
        <w:rPr>
          <w:rFonts w:ascii="Segoe UI" w:eastAsia="Segoe UI" w:hAnsi="Segoe UI" w:cs="Segoe UI"/>
        </w:rPr>
        <w:t>PRANEŠIMAS ŽINIASKLAIDAI</w:t>
      </w:r>
      <w:r w:rsidRPr="00182867">
        <w:rPr>
          <w:rFonts w:ascii="Segoe UI" w:eastAsia="Segoe UI" w:hAnsi="Segoe UI" w:cs="Segoe UI"/>
        </w:rPr>
        <w:br/>
        <w:t>202</w:t>
      </w:r>
      <w:r w:rsidR="009145C2">
        <w:rPr>
          <w:rFonts w:ascii="Segoe UI" w:eastAsia="Segoe UI" w:hAnsi="Segoe UI" w:cs="Segoe UI"/>
          <w:lang w:val="en-GB"/>
        </w:rPr>
        <w:t>6</w:t>
      </w:r>
      <w:r w:rsidRPr="00182867">
        <w:rPr>
          <w:rFonts w:ascii="Segoe UI" w:eastAsia="Segoe UI" w:hAnsi="Segoe UI" w:cs="Segoe UI"/>
        </w:rPr>
        <w:t xml:space="preserve"> m. </w:t>
      </w:r>
      <w:r w:rsidR="00A82A34">
        <w:rPr>
          <w:rFonts w:ascii="Segoe UI" w:eastAsia="Segoe UI" w:hAnsi="Segoe UI" w:cs="Segoe UI"/>
        </w:rPr>
        <w:t>rugpjūčio</w:t>
      </w:r>
      <w:r w:rsidR="00CA021C" w:rsidRPr="00182867">
        <w:rPr>
          <w:rFonts w:ascii="Segoe UI" w:eastAsia="Segoe UI" w:hAnsi="Segoe UI" w:cs="Segoe UI"/>
        </w:rPr>
        <w:t xml:space="preserve"> </w:t>
      </w:r>
      <w:r w:rsidR="00EB18BC">
        <w:rPr>
          <w:rFonts w:ascii="Segoe UI" w:eastAsia="Segoe UI" w:hAnsi="Segoe UI" w:cs="Segoe UI"/>
          <w:lang w:val="en-US"/>
        </w:rPr>
        <w:t>7</w:t>
      </w:r>
      <w:r w:rsidRPr="00182867">
        <w:rPr>
          <w:rFonts w:ascii="Segoe UI" w:eastAsia="Segoe UI" w:hAnsi="Segoe UI" w:cs="Segoe UI"/>
          <w:color w:val="auto"/>
        </w:rPr>
        <w:t xml:space="preserve"> d</w:t>
      </w:r>
      <w:r w:rsidRPr="00182867">
        <w:rPr>
          <w:rFonts w:ascii="Segoe UI" w:eastAsia="Segoe UI" w:hAnsi="Segoe UI" w:cs="Segoe UI"/>
        </w:rPr>
        <w:t>.</w:t>
      </w:r>
    </w:p>
    <w:p w14:paraId="64049168" w14:textId="7EB5435A" w:rsidR="00054EBA" w:rsidRPr="00054EBA" w:rsidRDefault="00054EBA" w:rsidP="00A91089">
      <w:pPr>
        <w:spacing w:line="256" w:lineRule="auto"/>
        <w:jc w:val="both"/>
        <w:rPr>
          <w:rFonts w:ascii="Segoe UI" w:eastAsia="Segoe UI" w:hAnsi="Segoe UI" w:cs="Segoe UI"/>
          <w:b/>
          <w:bCs/>
          <w:sz w:val="28"/>
          <w:szCs w:val="28"/>
        </w:rPr>
      </w:pPr>
      <w:r w:rsidRPr="00054EBA">
        <w:rPr>
          <w:rFonts w:ascii="Segoe UI" w:eastAsia="Segoe UI" w:hAnsi="Segoe UI" w:cs="Segoe UI"/>
          <w:b/>
          <w:bCs/>
          <w:sz w:val="28"/>
          <w:szCs w:val="28"/>
        </w:rPr>
        <w:t xml:space="preserve">Pirmoji vaiko mokėjimo kortelė: kada ji tampa </w:t>
      </w:r>
      <w:r>
        <w:rPr>
          <w:rFonts w:ascii="Segoe UI" w:eastAsia="Segoe UI" w:hAnsi="Segoe UI" w:cs="Segoe UI"/>
          <w:b/>
          <w:bCs/>
          <w:sz w:val="28"/>
          <w:szCs w:val="28"/>
        </w:rPr>
        <w:t>pamoka</w:t>
      </w:r>
      <w:r w:rsidRPr="00054EBA">
        <w:rPr>
          <w:rFonts w:ascii="Segoe UI" w:eastAsia="Segoe UI" w:hAnsi="Segoe UI" w:cs="Segoe UI"/>
          <w:b/>
          <w:bCs/>
          <w:sz w:val="28"/>
          <w:szCs w:val="28"/>
        </w:rPr>
        <w:t>, o ne rizika?</w:t>
      </w:r>
    </w:p>
    <w:p w14:paraId="4E0F8BF4" w14:textId="77777777" w:rsidR="00705EDA" w:rsidRPr="00163B20" w:rsidRDefault="00705EDA" w:rsidP="00705EDA">
      <w:pPr>
        <w:spacing w:line="256" w:lineRule="auto"/>
        <w:jc w:val="both"/>
        <w:rPr>
          <w:rFonts w:ascii="Segoe UI" w:eastAsia="Segoe UI" w:hAnsi="Segoe UI" w:cs="Segoe UI"/>
          <w:b/>
          <w:bCs/>
        </w:rPr>
      </w:pPr>
      <w:r w:rsidRPr="00163B20">
        <w:rPr>
          <w:rFonts w:ascii="Segoe UI" w:eastAsia="Segoe UI" w:hAnsi="Segoe UI" w:cs="Segoe UI"/>
          <w:b/>
          <w:bCs/>
        </w:rPr>
        <w:t xml:space="preserve">Vaiko pažintis su pinigais dažnai prasideda nuo grynųjų – kelių eurų kišenpinigiams, ledams ar pietums mokykloje. Tačiau vis daugiau kasdienių atsiskaitymų persikelia į skaitmeninę erdvę, todėl mokėjimo kortelė gali tapti ne tik patogiu įrankiu, bet ir svarbia finansinio raštingumo pamoka, sako „Luminor“ banko kasdienės bankininkystės vadovė Aušrinė </w:t>
      </w:r>
      <w:proofErr w:type="spellStart"/>
      <w:r w:rsidRPr="00163B20">
        <w:rPr>
          <w:rFonts w:ascii="Segoe UI" w:eastAsia="Segoe UI" w:hAnsi="Segoe UI" w:cs="Segoe UI"/>
          <w:b/>
          <w:bCs/>
        </w:rPr>
        <w:t>Mincienė</w:t>
      </w:r>
      <w:proofErr w:type="spellEnd"/>
      <w:r w:rsidRPr="00163B20">
        <w:rPr>
          <w:rFonts w:ascii="Segoe UI" w:eastAsia="Segoe UI" w:hAnsi="Segoe UI" w:cs="Segoe UI"/>
          <w:b/>
          <w:bCs/>
        </w:rPr>
        <w:t>.</w:t>
      </w:r>
    </w:p>
    <w:p w14:paraId="4578DC84"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Pasak jos, nėra vieno amžiaus, nuo kurio mokėjimo kortelė tiktų visiems vaikams. „Luminor“ banke ją galima užsakyti vaikui nuo 6 metų, tačiau sprendžiant, ar jis jau pasiruošęs naudotis kortele, svarbiausia vertinti ne vien amžių, bet ir tai, ar vaikas supranta pinigų vertę, laikosi susitarimų ir geba planuoti savo išlaidas.</w:t>
      </w:r>
    </w:p>
    <w:p w14:paraId="48B09BBB"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 xml:space="preserve">„Pirmoji mokėjimo kortelė neturėtų atsirasti staiga – ji turėtų būti natūrali finansinio ugdymo dalis. Jei vaikas jau gauna kišenpinigių, supranta, kad pinigai nėra neriboti, moka palaukti kito sutarto mokėjimo ir gali paaiškinti, kam juos išleido, tai gali reikšti, jog jis jau pasiruošęs naudotis kortele“, – sako A. </w:t>
      </w:r>
      <w:proofErr w:type="spellStart"/>
      <w:r w:rsidRPr="00163B20">
        <w:rPr>
          <w:rFonts w:ascii="Segoe UI" w:eastAsia="Segoe UI" w:hAnsi="Segoe UI" w:cs="Segoe UI"/>
        </w:rPr>
        <w:t>Mincienė</w:t>
      </w:r>
      <w:proofErr w:type="spellEnd"/>
      <w:r w:rsidRPr="00163B20">
        <w:rPr>
          <w:rFonts w:ascii="Segoe UI" w:eastAsia="Segoe UI" w:hAnsi="Segoe UI" w:cs="Segoe UI"/>
        </w:rPr>
        <w:t>.</w:t>
      </w:r>
    </w:p>
    <w:p w14:paraId="3A531E5D" w14:textId="77777777" w:rsidR="00705EDA" w:rsidRPr="00163B20" w:rsidRDefault="00705EDA" w:rsidP="00705EDA">
      <w:pPr>
        <w:spacing w:line="256" w:lineRule="auto"/>
        <w:jc w:val="both"/>
        <w:rPr>
          <w:rFonts w:ascii="Segoe UI" w:eastAsia="Segoe UI" w:hAnsi="Segoe UI" w:cs="Segoe UI"/>
          <w:b/>
          <w:bCs/>
        </w:rPr>
      </w:pPr>
      <w:r w:rsidRPr="00163B20">
        <w:rPr>
          <w:rFonts w:ascii="Segoe UI" w:eastAsia="Segoe UI" w:hAnsi="Segoe UI" w:cs="Segoe UI"/>
          <w:b/>
          <w:bCs/>
        </w:rPr>
        <w:t>Pradėti verta nuo pokalbių</w:t>
      </w:r>
    </w:p>
    <w:p w14:paraId="21C0AFED"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Ekspertės teigimu, vaikų finansinis raštingumas pirmiausia formuojasi kasdienėse situacijose – parduotuvėje, planuojant šeimos savaitgalį, kalbantis apie maisto, būrelio ar kelionės išlaidas. Kuo anksčiau vaikas įtraukiamas į paprastus pokalbius apie pinigus, tuo natūraliau jis supranta, kad kiekvienas pasirinkimas turi kainą.</w:t>
      </w:r>
    </w:p>
    <w:p w14:paraId="7829DE47"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 xml:space="preserve">„Su vaikais apie pinigus verta kalbėti ne tada, kai jau kilo konfliktas dėl neapgalvotų išlaidų, o gerokai anksčiau. Galima kartu aptarti, kiek kainuoja pietūs mokykloje, kiek pinigų skiriama pramogoms ar kaip sutaupyti norimam daiktui. Taip vaikas mokosi ne tik skaičiuoti, bet ir priimti sprendimus“, – teigia A. </w:t>
      </w:r>
      <w:proofErr w:type="spellStart"/>
      <w:r w:rsidRPr="00163B20">
        <w:rPr>
          <w:rFonts w:ascii="Segoe UI" w:eastAsia="Segoe UI" w:hAnsi="Segoe UI" w:cs="Segoe UI"/>
        </w:rPr>
        <w:t>Mincienė</w:t>
      </w:r>
      <w:proofErr w:type="spellEnd"/>
      <w:r w:rsidRPr="00163B20">
        <w:rPr>
          <w:rFonts w:ascii="Segoe UI" w:eastAsia="Segoe UI" w:hAnsi="Segoe UI" w:cs="Segoe UI"/>
        </w:rPr>
        <w:t>.</w:t>
      </w:r>
    </w:p>
    <w:p w14:paraId="7941390F"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Pasak jos, geras pirmasis žingsnis – kišenpinigiai. Mažesniems vaikams juos galima duoti kelioms dienoms, vyresniems – savaitei ar mėnesiui. Svarbu iš anksto sutarti sumą ir periodiškumą, o vaikui pinigus išleidus anksčiau – neskubėti papildyti biudžeto, bet kartu aptarti, ką kitą kartą būtų galima daryti kitaip.</w:t>
      </w:r>
    </w:p>
    <w:p w14:paraId="5636EA9C" w14:textId="77777777" w:rsidR="00705EDA" w:rsidRPr="00163B20" w:rsidRDefault="00705EDA" w:rsidP="00705EDA">
      <w:pPr>
        <w:spacing w:line="256" w:lineRule="auto"/>
        <w:jc w:val="both"/>
        <w:rPr>
          <w:rFonts w:ascii="Segoe UI" w:eastAsia="Segoe UI" w:hAnsi="Segoe UI" w:cs="Segoe UI"/>
          <w:b/>
          <w:bCs/>
        </w:rPr>
      </w:pPr>
      <w:r w:rsidRPr="00163B20">
        <w:rPr>
          <w:rFonts w:ascii="Segoe UI" w:eastAsia="Segoe UI" w:hAnsi="Segoe UI" w:cs="Segoe UI"/>
          <w:b/>
          <w:bCs/>
        </w:rPr>
        <w:t>Kortelė moko savarankiškumo</w:t>
      </w:r>
    </w:p>
    <w:p w14:paraId="13D34DBF"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Mokėjimo kortelė vaikui gali suteikti daugiau savarankiškumo, o tėvams – aiškumo. Ja patogu atsiskaityti mokykloje ar parduotuvėje, o prireikus tėvai gali greitai papildyti vaiko sąskaitą interneto arba mobiliajame banke.</w:t>
      </w:r>
    </w:p>
    <w:p w14:paraId="2C5A6185"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 xml:space="preserve">„Kortelė padeda vaikui suprasti, kad pinigai nėra tik fizinės monetos ar banknotai. Skaitmeniniai pinigai taip pat yra tikri, todėl juos reikia planuoti ir saugoti. Kartu tai patogu tėvams – jie gali matyti vaiko išlaidas, aptarti jas ir laiku pastebėti, kur dar reikia pagalbos“, – sako A. </w:t>
      </w:r>
      <w:proofErr w:type="spellStart"/>
      <w:r w:rsidRPr="00163B20">
        <w:rPr>
          <w:rFonts w:ascii="Segoe UI" w:eastAsia="Segoe UI" w:hAnsi="Segoe UI" w:cs="Segoe UI"/>
        </w:rPr>
        <w:t>Mincienė</w:t>
      </w:r>
      <w:proofErr w:type="spellEnd"/>
      <w:r w:rsidRPr="00163B20">
        <w:rPr>
          <w:rFonts w:ascii="Segoe UI" w:eastAsia="Segoe UI" w:hAnsi="Segoe UI" w:cs="Segoe UI"/>
        </w:rPr>
        <w:t>.</w:t>
      </w:r>
    </w:p>
    <w:p w14:paraId="225BE995" w14:textId="2D190388"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lastRenderedPageBreak/>
        <w:t xml:space="preserve">„Luminor“ banke vaikams ir jaunuoliams nuo 6 iki 21 metų debeto kortelė yra nemokama. Tėvai ar globėjai gali </w:t>
      </w:r>
      <w:r w:rsidR="00163B20" w:rsidRPr="00163B20">
        <w:rPr>
          <w:rFonts w:ascii="Segoe UI" w:eastAsia="Segoe UI" w:hAnsi="Segoe UI" w:cs="Segoe UI"/>
        </w:rPr>
        <w:t xml:space="preserve">nuotoliniu būdu </w:t>
      </w:r>
      <w:r w:rsidRPr="00163B20">
        <w:rPr>
          <w:rFonts w:ascii="Segoe UI" w:eastAsia="Segoe UI" w:hAnsi="Segoe UI" w:cs="Segoe UI"/>
        </w:rPr>
        <w:t>atidaryti vaikui sąskaitą, užsakyti kortelę, stebėti išlaidas, keisti atsiskaitymų ir pervedimų limitus, įjungti arba išjungti internetinius bei bekontakčius mokėjimus.</w:t>
      </w:r>
    </w:p>
    <w:p w14:paraId="3B1CD0CC" w14:textId="77777777" w:rsidR="00705EDA" w:rsidRPr="00163B20" w:rsidRDefault="00705EDA" w:rsidP="00705EDA">
      <w:pPr>
        <w:spacing w:line="256" w:lineRule="auto"/>
        <w:jc w:val="both"/>
        <w:rPr>
          <w:rFonts w:ascii="Segoe UI" w:eastAsia="Segoe UI" w:hAnsi="Segoe UI" w:cs="Segoe UI"/>
          <w:b/>
          <w:bCs/>
        </w:rPr>
      </w:pPr>
      <w:r w:rsidRPr="00163B20">
        <w:rPr>
          <w:rFonts w:ascii="Segoe UI" w:eastAsia="Segoe UI" w:hAnsi="Segoe UI" w:cs="Segoe UI"/>
          <w:b/>
          <w:bCs/>
        </w:rPr>
        <w:t>Grynieji vis dar reikalingi</w:t>
      </w:r>
    </w:p>
    <w:p w14:paraId="5B82E984"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Vis dėlto, pasak ekspertės, mokėjimo kortelė neturėtų visiškai pakeisti grynųjų pinigų. Vaikui naudinga suprasti abi priemones – ir kaip atsiskaityti kortele, ir kaip elgtis su grynaisiais.</w:t>
      </w:r>
    </w:p>
    <w:p w14:paraId="48454AC3"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 xml:space="preserve">„Grynieji padeda vaikui aiškiai pamatyti, kaip pinigai mažėja, o kortelė moko gyventi aplinkoje, kurioje didelė dalis atsiskaitymų vyksta skaitmeniniu būdu. Todėl geriausias sprendimas dažnai yra ne pasirinkti vieną iš šių priemonių, o padėti vaikui suprasti abi“, – pažymi A. </w:t>
      </w:r>
      <w:proofErr w:type="spellStart"/>
      <w:r w:rsidRPr="00163B20">
        <w:rPr>
          <w:rFonts w:ascii="Segoe UI" w:eastAsia="Segoe UI" w:hAnsi="Segoe UI" w:cs="Segoe UI"/>
        </w:rPr>
        <w:t>Mincienė</w:t>
      </w:r>
      <w:proofErr w:type="spellEnd"/>
      <w:r w:rsidRPr="00163B20">
        <w:rPr>
          <w:rFonts w:ascii="Segoe UI" w:eastAsia="Segoe UI" w:hAnsi="Segoe UI" w:cs="Segoe UI"/>
        </w:rPr>
        <w:t>.</w:t>
      </w:r>
    </w:p>
    <w:p w14:paraId="25520491" w14:textId="1C03B01B"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Ji priduria, kad kortelė gali būti ir saugesnis pasirinkimas nei grynieji. Pametus piniginę su grynaisiais, pinigus susigrąžinti sudėtinga, o pamet</w:t>
      </w:r>
      <w:r w:rsidR="00163B20">
        <w:rPr>
          <w:rFonts w:ascii="Segoe UI" w:eastAsia="Segoe UI" w:hAnsi="Segoe UI" w:cs="Segoe UI"/>
        </w:rPr>
        <w:t>us</w:t>
      </w:r>
      <w:r w:rsidRPr="00163B20">
        <w:rPr>
          <w:rFonts w:ascii="Segoe UI" w:eastAsia="Segoe UI" w:hAnsi="Segoe UI" w:cs="Segoe UI"/>
        </w:rPr>
        <w:t xml:space="preserve"> kortelę tėvai gali ją greitai užblokuoti.</w:t>
      </w:r>
    </w:p>
    <w:p w14:paraId="5685ED77" w14:textId="77777777" w:rsidR="00705EDA" w:rsidRPr="00163B20" w:rsidRDefault="00705EDA" w:rsidP="00705EDA">
      <w:pPr>
        <w:spacing w:line="256" w:lineRule="auto"/>
        <w:jc w:val="both"/>
        <w:rPr>
          <w:rFonts w:ascii="Segoe UI" w:eastAsia="Segoe UI" w:hAnsi="Segoe UI" w:cs="Segoe UI"/>
          <w:b/>
          <w:bCs/>
        </w:rPr>
      </w:pPr>
      <w:r w:rsidRPr="00163B20">
        <w:rPr>
          <w:rFonts w:ascii="Segoe UI" w:eastAsia="Segoe UI" w:hAnsi="Segoe UI" w:cs="Segoe UI"/>
          <w:b/>
          <w:bCs/>
        </w:rPr>
        <w:t>Svarbiausia – turėti aiškius susitarimus</w:t>
      </w:r>
    </w:p>
    <w:p w14:paraId="6AF3D04F"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Prieš perduodant vaikui mokėjimo kortelę, ekspertė pataria sutarti kelias pagrindines taisykles: kokiai sumai ir kokiam laikotarpiui skiriami pinigai, kam juos galima naudoti, kada būtina pasitarti su tėvais ir kaip elgtis pametus kortelę ar pastebėjus įtartiną mokėjimą.</w:t>
      </w:r>
    </w:p>
    <w:p w14:paraId="268B5DFD" w14:textId="77777777" w:rsidR="00705EDA" w:rsidRPr="00163B20" w:rsidRDefault="00705EDA" w:rsidP="00705EDA">
      <w:pPr>
        <w:spacing w:line="256" w:lineRule="auto"/>
        <w:jc w:val="both"/>
        <w:rPr>
          <w:rFonts w:ascii="Segoe UI" w:eastAsia="Segoe UI" w:hAnsi="Segoe UI" w:cs="Segoe UI"/>
        </w:rPr>
      </w:pPr>
      <w:r w:rsidRPr="00163B20">
        <w:rPr>
          <w:rFonts w:ascii="Segoe UI" w:eastAsia="Segoe UI" w:hAnsi="Segoe UI" w:cs="Segoe UI"/>
        </w:rPr>
        <w:t xml:space="preserve">„Pirmoji kortelė yra gera proga kalbėti ne tik apie išlaidas, bet ir apie saugumą – kodėl negalima niekam atskleisti PIN kodo, kaip atpažinti sukčiavimą, kodėl reikia saugoti prisijungimo duomenis. Kuo anksčiau vaikas išmoksta šių taisyklių, tuo saugiau ir atsakingiau jis elgsis ateityje“, – sako A. </w:t>
      </w:r>
      <w:proofErr w:type="spellStart"/>
      <w:r w:rsidRPr="00163B20">
        <w:rPr>
          <w:rFonts w:ascii="Segoe UI" w:eastAsia="Segoe UI" w:hAnsi="Segoe UI" w:cs="Segoe UI"/>
        </w:rPr>
        <w:t>Mincienė</w:t>
      </w:r>
      <w:proofErr w:type="spellEnd"/>
      <w:r w:rsidRPr="00163B20">
        <w:rPr>
          <w:rFonts w:ascii="Segoe UI" w:eastAsia="Segoe UI" w:hAnsi="Segoe UI" w:cs="Segoe UI"/>
        </w:rPr>
        <w:t>.</w:t>
      </w:r>
    </w:p>
    <w:p w14:paraId="4BA16CFB" w14:textId="77777777" w:rsidR="00705EDA" w:rsidRDefault="00705EDA" w:rsidP="00705EDA">
      <w:pPr>
        <w:spacing w:line="256" w:lineRule="auto"/>
        <w:jc w:val="both"/>
        <w:rPr>
          <w:rFonts w:ascii="Segoe UI" w:eastAsia="Segoe UI" w:hAnsi="Segoe UI" w:cs="Segoe UI"/>
        </w:rPr>
      </w:pPr>
      <w:r w:rsidRPr="00163B20">
        <w:rPr>
          <w:rFonts w:ascii="Segoe UI" w:eastAsia="Segoe UI" w:hAnsi="Segoe UI" w:cs="Segoe UI"/>
        </w:rPr>
        <w:t>Pasak jos, mokėjimo kortelė vaikui turėtų būti ne dovana be taisyklių, o pasitikėjimo ir mokymosi įrankis. Tėvams svarbu ne tik stebėti vaiko išlaidas, bet ir reguliariai apie jas kalbėtis – kur pinigai buvo išleisti per greitai, o kur vaikas priėmė gerą sprendimą.</w:t>
      </w:r>
    </w:p>
    <w:p w14:paraId="3EE21934" w14:textId="77777777" w:rsidR="00163B20" w:rsidRPr="00163B20" w:rsidRDefault="00163B20" w:rsidP="00705EDA">
      <w:pPr>
        <w:spacing w:line="256" w:lineRule="auto"/>
        <w:jc w:val="both"/>
        <w:rPr>
          <w:rFonts w:ascii="Segoe UI" w:eastAsia="Segoe UI" w:hAnsi="Segoe UI" w:cs="Segoe UI"/>
        </w:rPr>
      </w:pPr>
    </w:p>
    <w:p w14:paraId="658FF6D7" w14:textId="081E0DDC" w:rsidR="00536FAC" w:rsidRDefault="002E333B" w:rsidP="00536FAC">
      <w:pPr>
        <w:spacing w:line="256" w:lineRule="auto"/>
        <w:jc w:val="both"/>
        <w:rPr>
          <w:rFonts w:ascii="Segoe UI" w:eastAsia="Segoe UI" w:hAnsi="Segoe UI" w:cs="Segoe UI"/>
          <w:b/>
          <w:bCs/>
          <w:lang w:val="en-GB"/>
        </w:rPr>
      </w:pPr>
      <w:r w:rsidRPr="007B4ADF">
        <w:rPr>
          <w:rFonts w:ascii="Segoe UI" w:eastAsia="Segoe UI" w:hAnsi="Segoe UI" w:cs="Segoe UI"/>
          <w:b/>
          <w:bCs/>
          <w:sz w:val="20"/>
          <w:szCs w:val="20"/>
        </w:rPr>
        <w:t>Apie „Luminor</w:t>
      </w:r>
      <w:r w:rsidR="00BF12CF" w:rsidRPr="007B4ADF">
        <w:rPr>
          <w:rFonts w:ascii="Segoe UI" w:eastAsia="Segoe UI" w:hAnsi="Segoe UI" w:cs="Segoe UI"/>
          <w:b/>
          <w:bCs/>
          <w:sz w:val="20"/>
          <w:szCs w:val="20"/>
        </w:rPr>
        <w:t>“</w:t>
      </w:r>
      <w:r w:rsidRPr="007B4ADF">
        <w:rPr>
          <w:rFonts w:ascii="Segoe UI" w:eastAsia="Segoe UI" w:hAnsi="Segoe UI" w:cs="Segoe UI"/>
          <w:b/>
          <w:bCs/>
          <w:sz w:val="20"/>
          <w:szCs w:val="20"/>
        </w:rPr>
        <w:t>:</w:t>
      </w:r>
    </w:p>
    <w:p w14:paraId="0FE8F3B0" w14:textId="02EDB89C" w:rsidR="00C62420" w:rsidRPr="00536FAC" w:rsidRDefault="005E396E" w:rsidP="00536FAC">
      <w:pPr>
        <w:spacing w:line="256" w:lineRule="auto"/>
        <w:jc w:val="both"/>
        <w:rPr>
          <w:rFonts w:ascii="Segoe UI" w:eastAsia="Segoe UI" w:hAnsi="Segoe UI" w:cs="Segoe UI"/>
          <w:b/>
          <w:bCs/>
          <w:lang w:val="en-GB"/>
        </w:rPr>
      </w:pPr>
      <w:r w:rsidRPr="002065DB">
        <w:rPr>
          <w:rFonts w:ascii="Segoe UI" w:eastAsia="Segoe UI" w:hAnsi="Segoe UI" w:cs="Segoe UI"/>
          <w:sz w:val="20"/>
          <w:szCs w:val="20"/>
        </w:rPr>
        <w:t>„Luminor</w:t>
      </w:r>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„Luminor</w:t>
      </w:r>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0448AC2D" w14:textId="7301ED39" w:rsidR="00536FAC" w:rsidRDefault="002E333B" w:rsidP="00984699">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322CC174" w14:textId="77777777" w:rsidR="007B4ADF" w:rsidRDefault="00294878" w:rsidP="00984699">
      <w:pPr>
        <w:spacing w:after="0" w:line="240" w:lineRule="auto"/>
        <w:rPr>
          <w:rFonts w:ascii="Segoe UI" w:eastAsia="Segoe UI" w:hAnsi="Segoe UI" w:cs="Segoe UI"/>
          <w:b/>
          <w:bCs/>
          <w:sz w:val="20"/>
          <w:szCs w:val="20"/>
        </w:rPr>
      </w:pPr>
      <w:r w:rsidRPr="00294878">
        <w:rPr>
          <w:rFonts w:ascii="Segoe UI" w:eastAsia="Segoe UI" w:hAnsi="Segoe UI" w:cs="Segoe UI"/>
          <w:sz w:val="20"/>
          <w:szCs w:val="20"/>
        </w:rPr>
        <w:t>Šarūnas Kubilius</w:t>
      </w:r>
    </w:p>
    <w:p w14:paraId="445B9869" w14:textId="055F4027" w:rsidR="00294878" w:rsidRPr="007B4ADF" w:rsidRDefault="00294878" w:rsidP="00984699">
      <w:pPr>
        <w:spacing w:after="0" w:line="240" w:lineRule="auto"/>
        <w:rPr>
          <w:rFonts w:ascii="Segoe UI" w:eastAsia="Segoe UI" w:hAnsi="Segoe UI" w:cs="Segoe UI"/>
          <w:b/>
          <w:bCs/>
          <w:sz w:val="20"/>
          <w:szCs w:val="20"/>
        </w:rPr>
      </w:pPr>
      <w:r w:rsidRPr="00294878">
        <w:rPr>
          <w:rFonts w:ascii="Segoe UI" w:eastAsia="Segoe UI" w:hAnsi="Segoe UI" w:cs="Segoe UI"/>
          <w:sz w:val="20"/>
          <w:szCs w:val="20"/>
        </w:rPr>
        <w:t>„Luminor</w:t>
      </w:r>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74CFEE8B" w:rsidR="00786D9C" w:rsidRPr="00C17E6C" w:rsidRDefault="00294878" w:rsidP="00984699">
      <w:pPr>
        <w:spacing w:after="0" w:line="240" w:lineRule="auto"/>
        <w:rPr>
          <w:rFonts w:ascii="Segoe UI" w:eastAsia="Segoe UI" w:hAnsi="Segoe UI" w:cs="Segoe UI"/>
        </w:rPr>
      </w:pPr>
      <w:r w:rsidRPr="00294878">
        <w:rPr>
          <w:rFonts w:ascii="Segoe UI" w:eastAsia="Segoe UI" w:hAnsi="Segoe UI" w:cs="Segoe UI"/>
          <w:sz w:val="20"/>
          <w:szCs w:val="20"/>
        </w:rPr>
        <w:t xml:space="preserve">El. p.: </w:t>
      </w:r>
      <w:hyperlink r:id="rId8" w:history="1">
        <w:r w:rsidRPr="0057650C">
          <w:rPr>
            <w:rStyle w:val="Hipersaitas"/>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996FE" w14:textId="77777777" w:rsidR="00921060" w:rsidRDefault="00921060">
      <w:pPr>
        <w:spacing w:after="0" w:line="240" w:lineRule="auto"/>
      </w:pPr>
      <w:r>
        <w:separator/>
      </w:r>
    </w:p>
  </w:endnote>
  <w:endnote w:type="continuationSeparator" w:id="0">
    <w:p w14:paraId="33757D21" w14:textId="77777777" w:rsidR="00921060" w:rsidRDefault="00921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D28A" w14:textId="77777777" w:rsidR="00921060" w:rsidRDefault="00921060">
      <w:pPr>
        <w:spacing w:after="0" w:line="240" w:lineRule="auto"/>
      </w:pPr>
      <w:r>
        <w:separator/>
      </w:r>
    </w:p>
  </w:footnote>
  <w:footnote w:type="continuationSeparator" w:id="0">
    <w:p w14:paraId="612B290D" w14:textId="77777777" w:rsidR="00921060" w:rsidRDefault="00921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1144B41"/>
    <w:multiLevelType w:val="multilevel"/>
    <w:tmpl w:val="847C2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4"/>
  </w:num>
  <w:num w:numId="4" w16cid:durableId="424503041">
    <w:abstractNumId w:val="5"/>
  </w:num>
  <w:num w:numId="5" w16cid:durableId="940378642">
    <w:abstractNumId w:val="2"/>
  </w:num>
  <w:num w:numId="6" w16cid:durableId="1400664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4EBA"/>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26DE"/>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6ED"/>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20"/>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572"/>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67C3"/>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558"/>
    <w:rsid w:val="002579FA"/>
    <w:rsid w:val="00257EEC"/>
    <w:rsid w:val="002605F6"/>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86DC2"/>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34D4"/>
    <w:rsid w:val="00373C35"/>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6C8F"/>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3FF"/>
    <w:rsid w:val="0042160E"/>
    <w:rsid w:val="00423178"/>
    <w:rsid w:val="004239D3"/>
    <w:rsid w:val="00423C44"/>
    <w:rsid w:val="004242C9"/>
    <w:rsid w:val="0042450E"/>
    <w:rsid w:val="00424936"/>
    <w:rsid w:val="004249F9"/>
    <w:rsid w:val="00424EFC"/>
    <w:rsid w:val="00425375"/>
    <w:rsid w:val="004267EC"/>
    <w:rsid w:val="00426D06"/>
    <w:rsid w:val="00426DA3"/>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A15"/>
    <w:rsid w:val="00532C16"/>
    <w:rsid w:val="00534AF6"/>
    <w:rsid w:val="00534BE3"/>
    <w:rsid w:val="00535107"/>
    <w:rsid w:val="005351C5"/>
    <w:rsid w:val="005352C1"/>
    <w:rsid w:val="0053537C"/>
    <w:rsid w:val="005354B8"/>
    <w:rsid w:val="00536148"/>
    <w:rsid w:val="00536DD5"/>
    <w:rsid w:val="00536FAC"/>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469"/>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1D5C"/>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B02"/>
    <w:rsid w:val="005F2CB7"/>
    <w:rsid w:val="005F2D78"/>
    <w:rsid w:val="005F3D39"/>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6D9F"/>
    <w:rsid w:val="00617050"/>
    <w:rsid w:val="00617C68"/>
    <w:rsid w:val="00617EF6"/>
    <w:rsid w:val="00621530"/>
    <w:rsid w:val="006216CB"/>
    <w:rsid w:val="00622A9C"/>
    <w:rsid w:val="00622DF5"/>
    <w:rsid w:val="00623A71"/>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67DA9"/>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4CE"/>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5EDA"/>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6EAE"/>
    <w:rsid w:val="00777CF7"/>
    <w:rsid w:val="00777EA5"/>
    <w:rsid w:val="00780052"/>
    <w:rsid w:val="007812B4"/>
    <w:rsid w:val="007813FB"/>
    <w:rsid w:val="00781E07"/>
    <w:rsid w:val="00782415"/>
    <w:rsid w:val="00782843"/>
    <w:rsid w:val="00783704"/>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A7F"/>
    <w:rsid w:val="00797F8E"/>
    <w:rsid w:val="007A0CAD"/>
    <w:rsid w:val="007A1095"/>
    <w:rsid w:val="007A18D3"/>
    <w:rsid w:val="007A1C53"/>
    <w:rsid w:val="007A1C92"/>
    <w:rsid w:val="007A1FC9"/>
    <w:rsid w:val="007A5D2D"/>
    <w:rsid w:val="007A5EB8"/>
    <w:rsid w:val="007A68EB"/>
    <w:rsid w:val="007B030C"/>
    <w:rsid w:val="007B0311"/>
    <w:rsid w:val="007B0A99"/>
    <w:rsid w:val="007B1B94"/>
    <w:rsid w:val="007B39EC"/>
    <w:rsid w:val="007B4418"/>
    <w:rsid w:val="007B463F"/>
    <w:rsid w:val="007B4AD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5896"/>
    <w:rsid w:val="007E6637"/>
    <w:rsid w:val="007E7CD6"/>
    <w:rsid w:val="007F22F8"/>
    <w:rsid w:val="007F25A0"/>
    <w:rsid w:val="007F2FB1"/>
    <w:rsid w:val="007F33D6"/>
    <w:rsid w:val="007F358D"/>
    <w:rsid w:val="007F3C8A"/>
    <w:rsid w:val="007F3DE8"/>
    <w:rsid w:val="007F424C"/>
    <w:rsid w:val="007F4329"/>
    <w:rsid w:val="007F433C"/>
    <w:rsid w:val="007F485E"/>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5723"/>
    <w:rsid w:val="00876112"/>
    <w:rsid w:val="00876305"/>
    <w:rsid w:val="00876893"/>
    <w:rsid w:val="008769DE"/>
    <w:rsid w:val="00876CA7"/>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1060"/>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2E45"/>
    <w:rsid w:val="00974082"/>
    <w:rsid w:val="00974878"/>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119"/>
    <w:rsid w:val="00994309"/>
    <w:rsid w:val="0099439E"/>
    <w:rsid w:val="009949BF"/>
    <w:rsid w:val="009954D9"/>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9"/>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C1"/>
    <w:rsid w:val="009C3A57"/>
    <w:rsid w:val="009C480F"/>
    <w:rsid w:val="009C5B46"/>
    <w:rsid w:val="009C5E1F"/>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2A34"/>
    <w:rsid w:val="00A83192"/>
    <w:rsid w:val="00A83724"/>
    <w:rsid w:val="00A838DD"/>
    <w:rsid w:val="00A84272"/>
    <w:rsid w:val="00A844CD"/>
    <w:rsid w:val="00A846A4"/>
    <w:rsid w:val="00A85055"/>
    <w:rsid w:val="00A850F4"/>
    <w:rsid w:val="00A85791"/>
    <w:rsid w:val="00A86451"/>
    <w:rsid w:val="00A86FEA"/>
    <w:rsid w:val="00A87676"/>
    <w:rsid w:val="00A90AFB"/>
    <w:rsid w:val="00A90F63"/>
    <w:rsid w:val="00A90FC6"/>
    <w:rsid w:val="00A91089"/>
    <w:rsid w:val="00A9134C"/>
    <w:rsid w:val="00A9187D"/>
    <w:rsid w:val="00A918C6"/>
    <w:rsid w:val="00A91A19"/>
    <w:rsid w:val="00A92649"/>
    <w:rsid w:val="00A9266A"/>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8"/>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1D1"/>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4B32"/>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0C29"/>
    <w:rsid w:val="00C51285"/>
    <w:rsid w:val="00C512B8"/>
    <w:rsid w:val="00C51902"/>
    <w:rsid w:val="00C51A92"/>
    <w:rsid w:val="00C51C26"/>
    <w:rsid w:val="00C51E19"/>
    <w:rsid w:val="00C520A3"/>
    <w:rsid w:val="00C521DF"/>
    <w:rsid w:val="00C542B7"/>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6A24"/>
    <w:rsid w:val="00CF7822"/>
    <w:rsid w:val="00CF78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1DF"/>
    <w:rsid w:val="00D514AC"/>
    <w:rsid w:val="00D51E3E"/>
    <w:rsid w:val="00D521B0"/>
    <w:rsid w:val="00D52200"/>
    <w:rsid w:val="00D52F64"/>
    <w:rsid w:val="00D538C0"/>
    <w:rsid w:val="00D5423D"/>
    <w:rsid w:val="00D54B97"/>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095"/>
    <w:rsid w:val="00D83A17"/>
    <w:rsid w:val="00D83D6F"/>
    <w:rsid w:val="00D84335"/>
    <w:rsid w:val="00D845CF"/>
    <w:rsid w:val="00D847CC"/>
    <w:rsid w:val="00D85F4B"/>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8D2"/>
    <w:rsid w:val="00E21D8D"/>
    <w:rsid w:val="00E220B9"/>
    <w:rsid w:val="00E23976"/>
    <w:rsid w:val="00E239DB"/>
    <w:rsid w:val="00E24815"/>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26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18BC"/>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2F4"/>
    <w:rsid w:val="00F24B33"/>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7389"/>
    <w:rsid w:val="00F47F88"/>
    <w:rsid w:val="00F50BC3"/>
    <w:rsid w:val="00F519D1"/>
    <w:rsid w:val="00F51A61"/>
    <w:rsid w:val="00F51CAA"/>
    <w:rsid w:val="00F51CF6"/>
    <w:rsid w:val="00F51E82"/>
    <w:rsid w:val="00F52509"/>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87"/>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888</TotalTime>
  <Pages>2</Pages>
  <Words>770</Words>
  <Characters>4392</Characters>
  <Application>Microsoft Office Word</Application>
  <DocSecurity>0</DocSecurity>
  <Lines>36</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541</cp:revision>
  <dcterms:created xsi:type="dcterms:W3CDTF">2025-11-10T12:23:00Z</dcterms:created>
  <dcterms:modified xsi:type="dcterms:W3CDTF">2026-08-03T11:27:00Z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d1572c9d-4d6b-4d9b-ace3-bd84d8254b12</vt:lpwstr>
  </property>
</Properties>
</file>