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2026 07 </w:t>
      </w:r>
      <w:r w:rsidDel="00000000" w:rsidR="00000000" w:rsidRPr="00000000">
        <w:rPr>
          <w:rFonts w:ascii="Times New Roman" w:cs="Times New Roman" w:eastAsia="Times New Roman" w:hAnsi="Times New Roman"/>
          <w:b w:val="1"/>
          <w:bCs w:val="1"/>
          <w:rtl w:val="0"/>
        </w:rPr>
        <w:t xml:space="preserve">22</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Beveik kas antras lietuvis atostogoms rinkosi Latviją arba Lenkiją</w:t>
      </w:r>
    </w:p>
    <w:p w:rsidR="00000000" w:rsidDel="00000000" w:rsidP="00000000" w:rsidRDefault="00000000" w:rsidRPr="00000000" w14:paraId="0000000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Įpusėjus vasaros kelionių sezonui, ryškėja populiariausios lietuvių atostogų kryptys. „Tele2“ tinklo duomenys rodo, kad beveik kas antras užsienyje atostogavęs klientas vyko į Latviją arba Lenkiją. </w:t>
      </w:r>
    </w:p>
    <w:p w:rsidR="00000000" w:rsidDel="00000000" w:rsidP="00000000" w:rsidRDefault="00000000" w:rsidRPr="00000000" w14:paraId="0000000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Liepos pirmoje pusėje užsienyje apsilankiusių „Tele2“ klientų buvo beveik 22 proc. daugiau nei gegužės pirmoje pusėje. Atskirai vertinant būtent atostogautojus, jų srautas išaugo net virš 46 proc.</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Pasak „Tele2“ klientų išlaikymo ir analitikos vadovės Ingos Rudinskaitės, duomenys atskleidžia aiškų lietuvių kelionių įprotį – dažniausiai pasirenkamos trumpos ir lengvai suplanuojamos išvykos į netolimas šalis. Vidutinė kelionė truko apie keturias dienas, o pusė visų kelionių – ne ilgiau kaip tris dienas.</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Populiariausia kryptis – Latvija</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Kelionių į Latviją padaugėjo 87 proc., į Lenkiją – 68 proc., į Italiją – 32 proc., o į Graikiją – 27 proc.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Rudinskaitės teigimu, Latvijos ir Lenkijos populiarumą galima sieti su galimybe išvykti automobiliu, kelionę suplanuoti spontaniškai ir užsienyje praleisti vos kelias dienas. Duomenys rodo, kad būtent trumpa savaitgalio išvyka išlieka tipiškiausiu lietuvių vasaros kelionės scenarijumi.</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Didžiausias augimas – pietų kryptimis</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Nors daugiausia lietuvių rinkosi kaimynines šalis, sparčiausiai augo kelionių į Bulgariją ir Kroatiją skaičius. Palyginti su pavasariu, į Bulgariją vykusių poilsiautojų padaugėjo apie 20 kartų, o į Kroatiją – 11 kartų.</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Tuo metu į Turkiją vykusių poilsiautojų sumažėjo 28 proc., o į Jungtinę Karalystę – 17 proc. Viena iš galimų priežasčių – karščiausiu vasaros laikotarpiu dalis keliautojų renkasi vėsesnes kryptis.</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Vasarą į užsienį dažniau vyko poilsiautojai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Atostogautojai sudarė šiek tiek virš 70 proc. visų analizuotu laikotarpiu užsienyje buvusių „Tele2“ klientų. Dar beveik 22 proc. sudarė reguliariai sienas darbo reikalais kertantys žmonės, daugiausia tolimųjų reisų vairuotojai, o 7,7 proc. – ilgiau užsienyje gyvenantys ar dirbantys klientai.</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Klientų, kurie keliauja darbo reikalais srautas nuo pavasario išaugo tik 6,2 proc., o ilgalaikių išvykėlių skaičius nepakito. Tai rodo, kad bendrą vasaros kelionių augimą beveik visiškai lėmė atostogauti išvykę žmonės.</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Analizė atlikta remiantis nuasmenintais ir apibendrintais „Tele2“ tarptinklinio ryšio duomenimis, todėl neįmanoma identifikuoti konkretaus kliento.  </w:t>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2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2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24">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75550" cy="292100"/>
                      </a:xfrm>
                      <a:prstGeom prst="rect"/>
                      <a:ln/>
                    </pic:spPr>
                  </pic:pic>
                </a:graphicData>
              </a:graphic>
            </wp:anchor>
          </w:drawing>
        </mc:Fallback>
      </mc:AlternateContent>
    </w:r>
  </w:p>
  <w:p w:rsidR="00000000" w:rsidDel="00000000" w:rsidP="00000000" w:rsidRDefault="00000000" w:rsidRPr="00000000" w14:paraId="00000027">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-266063</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su+ahosAsF9GZk218fbsNa+OA==">CgMxLjA4AHIhMWE5R3V0ZFpOWnBoNmxicTNfZEdyWS14b005dEh2cFli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