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4B1E0B" w14:textId="77777777" w:rsidR="00D408BC" w:rsidRDefault="00000000">
      <w:pPr>
        <w:jc w:val="right"/>
        <w:rPr>
          <w:rFonts w:ascii="Times New Roman" w:eastAsia="Times New Roman" w:hAnsi="Times New Roman" w:cs="Times New Roman"/>
          <w:b/>
          <w:bCs/>
        </w:rPr>
      </w:pPr>
      <w:r>
        <w:rPr>
          <w:rFonts w:ascii="Times New Roman" w:eastAsia="Times New Roman" w:hAnsi="Times New Roman" w:cs="Times New Roman"/>
          <w:b/>
          <w:bCs/>
        </w:rPr>
        <w:t>2026 05 21</w:t>
      </w:r>
    </w:p>
    <w:p w14:paraId="6ACC6C47" w14:textId="77777777" w:rsidR="00D408BC" w:rsidRDefault="00D408BC">
      <w:pPr>
        <w:jc w:val="center"/>
        <w:rPr>
          <w:rFonts w:ascii="Times New Roman" w:eastAsia="Times New Roman" w:hAnsi="Times New Roman" w:cs="Times New Roman"/>
          <w:b/>
          <w:bCs/>
        </w:rPr>
      </w:pPr>
    </w:p>
    <w:p w14:paraId="3F62C94B" w14:textId="77777777" w:rsidR="00D408BC"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Kada reikės daugiau padavėjų, o kada – meniu kita kalba? Ekspertė paaiškino, kaip technologijos keičia turizmą</w:t>
      </w:r>
    </w:p>
    <w:p w14:paraId="0F1E92A0" w14:textId="77777777" w:rsidR="00D408BC" w:rsidRDefault="00D408BC">
      <w:pPr>
        <w:jc w:val="both"/>
        <w:rPr>
          <w:rFonts w:ascii="Times New Roman" w:eastAsia="Times New Roman" w:hAnsi="Times New Roman" w:cs="Times New Roman"/>
          <w:b/>
          <w:bCs/>
          <w:sz w:val="22"/>
          <w:szCs w:val="22"/>
        </w:rPr>
      </w:pPr>
    </w:p>
    <w:p w14:paraId="22EBCF0E" w14:textId="77777777" w:rsidR="00D408BC" w:rsidRDefault="00000000">
      <w:pPr>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Vieną savaitgalį regiono kavinė pilna turistų, kitą – darbuotojai beveik neturi ką veikti. „Tele2“ Klientų išlaikymo ir analitikos vadovė Inga </w:t>
      </w:r>
      <w:proofErr w:type="spellStart"/>
      <w:r>
        <w:rPr>
          <w:rFonts w:ascii="Times New Roman" w:eastAsia="Times New Roman" w:hAnsi="Times New Roman" w:cs="Times New Roman"/>
          <w:b/>
          <w:bCs/>
          <w:sz w:val="22"/>
          <w:szCs w:val="22"/>
        </w:rPr>
        <w:t>Rudinskaitė</w:t>
      </w:r>
      <w:proofErr w:type="spellEnd"/>
      <w:r>
        <w:rPr>
          <w:rFonts w:ascii="Times New Roman" w:eastAsia="Times New Roman" w:hAnsi="Times New Roman" w:cs="Times New Roman"/>
          <w:b/>
          <w:bCs/>
          <w:sz w:val="22"/>
          <w:szCs w:val="22"/>
        </w:rPr>
        <w:t xml:space="preserve"> sako, kad šiandien tokius lankytojų srautų svyravimus galima prognozuoti gerokai tiksliau – duomenų analizė leidžia matyti, kada atvyksta turistai, iš kur jie atvažiuoja ir kaip keičiasi jų įpročiai.</w:t>
      </w:r>
    </w:p>
    <w:p w14:paraId="4B731823" w14:textId="77777777" w:rsidR="00D408BC" w:rsidRDefault="00D408BC">
      <w:pPr>
        <w:jc w:val="both"/>
        <w:rPr>
          <w:rFonts w:ascii="Times New Roman" w:eastAsia="Times New Roman" w:hAnsi="Times New Roman" w:cs="Times New Roman"/>
          <w:b/>
          <w:bCs/>
          <w:sz w:val="22"/>
          <w:szCs w:val="22"/>
        </w:rPr>
      </w:pPr>
    </w:p>
    <w:p w14:paraId="1971DE91" w14:textId="77777777" w:rsidR="00D408BC" w:rsidRDefault="00000000">
      <w:pPr>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Kartais verslai tiesiog nežino, kas vyksta aplink</w:t>
      </w:r>
    </w:p>
    <w:p w14:paraId="40743113" w14:textId="77777777" w:rsidR="00D408BC" w:rsidRDefault="00D408BC">
      <w:pPr>
        <w:jc w:val="both"/>
        <w:rPr>
          <w:rFonts w:ascii="Times New Roman" w:eastAsia="Times New Roman" w:hAnsi="Times New Roman" w:cs="Times New Roman"/>
          <w:sz w:val="22"/>
          <w:szCs w:val="22"/>
        </w:rPr>
      </w:pPr>
    </w:p>
    <w:p w14:paraId="448B7BEC" w14:textId="77777777" w:rsidR="00D408BC"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Nedidelė kavinė prie Skuodo, kaimo turizmo sodyba Dzūkijoje ar ledų kioskas pajūryje – dalis regionų verslų šiandien vis dar dirba praktiškai „užsimerkę“, nežinodami, kas pas juos atvyksta, kada žmonių srautai didžiausi ar kaip keičiasi turistų įpročiai. </w:t>
      </w:r>
    </w:p>
    <w:p w14:paraId="361DD44B" w14:textId="77777777" w:rsidR="00D408BC" w:rsidRDefault="00D408BC">
      <w:pPr>
        <w:jc w:val="both"/>
        <w:rPr>
          <w:rFonts w:ascii="Times New Roman" w:eastAsia="Times New Roman" w:hAnsi="Times New Roman" w:cs="Times New Roman"/>
          <w:sz w:val="22"/>
          <w:szCs w:val="22"/>
        </w:rPr>
      </w:pPr>
    </w:p>
    <w:p w14:paraId="316606A2" w14:textId="77777777" w:rsidR="00D408BC" w:rsidRDefault="00000000">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Tuo metu duomenys gali parodyti labai konkrečius dalykus. Pavyzdžiui, mobiliojo ryšio duomenų analizės įrankis „Data </w:t>
      </w:r>
      <w:proofErr w:type="spellStart"/>
      <w:r>
        <w:rPr>
          <w:rFonts w:ascii="Times New Roman" w:eastAsia="Times New Roman" w:hAnsi="Times New Roman" w:cs="Times New Roman"/>
          <w:color w:val="000000"/>
          <w:sz w:val="22"/>
          <w:szCs w:val="22"/>
        </w:rPr>
        <w:t>Atlas</w:t>
      </w:r>
      <w:proofErr w:type="spellEnd"/>
      <w:r>
        <w:rPr>
          <w:rFonts w:ascii="Times New Roman" w:eastAsia="Times New Roman" w:hAnsi="Times New Roman" w:cs="Times New Roman"/>
          <w:color w:val="000000"/>
          <w:sz w:val="22"/>
          <w:szCs w:val="22"/>
        </w:rPr>
        <w:t>“ gali parodyti, kad savaitgaliais regione daugiau lankosi turistai iš Latvijos, vasarą padaugėja svečių iš Vokietijos, o per renginius žmonių skaičius tam tikrose vietose išauga net kelis kartus.</w:t>
      </w:r>
    </w:p>
    <w:p w14:paraId="32192FF9" w14:textId="77777777" w:rsidR="00D408BC" w:rsidRDefault="00D408BC">
      <w:pPr>
        <w:pBdr>
          <w:top w:val="nil"/>
          <w:left w:val="nil"/>
          <w:bottom w:val="nil"/>
          <w:right w:val="nil"/>
          <w:between w:val="nil"/>
        </w:pBdr>
        <w:jc w:val="both"/>
        <w:rPr>
          <w:rFonts w:ascii="Times New Roman" w:eastAsia="Times New Roman" w:hAnsi="Times New Roman" w:cs="Times New Roman"/>
          <w:sz w:val="22"/>
          <w:szCs w:val="22"/>
        </w:rPr>
      </w:pPr>
    </w:p>
    <w:p w14:paraId="0B522300" w14:textId="77777777" w:rsidR="00D408BC"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„Stebint turistų maršrutus galima nustatyti populiariausius objektus ar vietas regione. Tuomet verslai gali atitinkamai planuoti savo paslaugas – pavyzdžiui, siūlyti dviračių nuomą, iškylų krepšelius ar koreguoti darbo laiką pagal lankytojų srautus. Apsilankymų dažnumo ir sezoniškumo analizė leidžia daug tiksliau planuoti darbuotojų poreikį, išvengti personalo trūkumo piko metu ar perteklinių pajėgumų ramesniais laikotarpiais. Tai aktualu tiek apgyvendinimo, tiek maitinimo verslams“, – sako I. </w:t>
      </w:r>
      <w:proofErr w:type="spellStart"/>
      <w:r>
        <w:rPr>
          <w:rFonts w:ascii="Times New Roman" w:eastAsia="Times New Roman" w:hAnsi="Times New Roman" w:cs="Times New Roman"/>
          <w:sz w:val="22"/>
          <w:szCs w:val="22"/>
        </w:rPr>
        <w:t>Rudinskaitė</w:t>
      </w:r>
      <w:proofErr w:type="spellEnd"/>
      <w:r>
        <w:rPr>
          <w:rFonts w:ascii="Times New Roman" w:eastAsia="Times New Roman" w:hAnsi="Times New Roman" w:cs="Times New Roman"/>
          <w:sz w:val="22"/>
          <w:szCs w:val="22"/>
        </w:rPr>
        <w:t xml:space="preserve">. </w:t>
      </w:r>
    </w:p>
    <w:p w14:paraId="69156BAC" w14:textId="77777777" w:rsidR="00D408BC" w:rsidRDefault="00D408BC">
      <w:pPr>
        <w:jc w:val="both"/>
        <w:rPr>
          <w:rFonts w:ascii="Times New Roman" w:eastAsia="Times New Roman" w:hAnsi="Times New Roman" w:cs="Times New Roman"/>
          <w:sz w:val="22"/>
          <w:szCs w:val="22"/>
        </w:rPr>
      </w:pPr>
    </w:p>
    <w:p w14:paraId="75D099EC" w14:textId="77777777" w:rsidR="00D408BC" w:rsidRDefault="00000000">
      <w:pPr>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Vien „Facebook“ reklamos ar nuojautos šiandien nebeužtenka</w:t>
      </w:r>
    </w:p>
    <w:p w14:paraId="5EADD6E9" w14:textId="77777777" w:rsidR="00D408BC" w:rsidRDefault="00D408BC">
      <w:pPr>
        <w:jc w:val="both"/>
        <w:rPr>
          <w:rFonts w:ascii="Times New Roman" w:eastAsia="Times New Roman" w:hAnsi="Times New Roman" w:cs="Times New Roman"/>
          <w:sz w:val="22"/>
          <w:szCs w:val="22"/>
        </w:rPr>
      </w:pPr>
    </w:p>
    <w:p w14:paraId="4E1AA34D" w14:textId="77777777" w:rsidR="00D408BC"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Pasak I. </w:t>
      </w:r>
      <w:proofErr w:type="spellStart"/>
      <w:r>
        <w:rPr>
          <w:rFonts w:ascii="Times New Roman" w:eastAsia="Times New Roman" w:hAnsi="Times New Roman" w:cs="Times New Roman"/>
          <w:sz w:val="22"/>
          <w:szCs w:val="22"/>
        </w:rPr>
        <w:t>Rudinskaitės</w:t>
      </w:r>
      <w:proofErr w:type="spellEnd"/>
      <w:r>
        <w:rPr>
          <w:rFonts w:ascii="Times New Roman" w:eastAsia="Times New Roman" w:hAnsi="Times New Roman" w:cs="Times New Roman"/>
          <w:sz w:val="22"/>
          <w:szCs w:val="22"/>
        </w:rPr>
        <w:t>, regionuose dažnai problema slypi ne tame, kad trūksta turistų ar potencialo, o tame, kad sprendimai vis dar priimami neturint aiškaus vaizdo.</w:t>
      </w:r>
    </w:p>
    <w:p w14:paraId="6EF7A812" w14:textId="77777777" w:rsidR="00D408BC" w:rsidRDefault="00D408BC">
      <w:pPr>
        <w:jc w:val="both"/>
        <w:rPr>
          <w:rFonts w:ascii="Times New Roman" w:eastAsia="Times New Roman" w:hAnsi="Times New Roman" w:cs="Times New Roman"/>
          <w:sz w:val="22"/>
          <w:szCs w:val="22"/>
        </w:rPr>
      </w:pPr>
    </w:p>
    <w:p w14:paraId="2DF7B858" w14:textId="77777777" w:rsidR="00D408BC"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„Dalis verslų investicijas, reklamos kampanijas ar net darbo laiką planuoja remdamiesi ankstesne patirtimi ar nuojauta. Tačiau turistų įpročiai keičiasi gana greitai – vienais metais žmones labiau domina gamta ir aktyvus laisvalaikis, kitais jie ieško renginių ar trumpų savaitgalio išvykų. Net orai ar ilgieji savaitgaliai gali stipriai pakeisti srautus“, – sako ekspertė. </w:t>
      </w:r>
    </w:p>
    <w:p w14:paraId="1367E0E9" w14:textId="77777777" w:rsidR="00D408BC" w:rsidRDefault="00D408BC">
      <w:pPr>
        <w:jc w:val="both"/>
        <w:rPr>
          <w:rFonts w:ascii="Times New Roman" w:eastAsia="Times New Roman" w:hAnsi="Times New Roman" w:cs="Times New Roman"/>
          <w:sz w:val="22"/>
          <w:szCs w:val="22"/>
        </w:rPr>
      </w:pPr>
    </w:p>
    <w:p w14:paraId="132C156D" w14:textId="77777777" w:rsidR="00D408BC"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Anot ekspertės, būtent todėl regionuose vis dažniau laimi tie verslai ir savivaldybės, kurie geba greičiau pastebėti besikeičiančias tendencijas ir prie jų prisitaikyti.</w:t>
      </w:r>
    </w:p>
    <w:p w14:paraId="1D3EB4B7" w14:textId="77777777" w:rsidR="00D408BC" w:rsidRDefault="00D408BC">
      <w:pPr>
        <w:jc w:val="both"/>
        <w:rPr>
          <w:rFonts w:ascii="Times New Roman" w:eastAsia="Times New Roman" w:hAnsi="Times New Roman" w:cs="Times New Roman"/>
          <w:sz w:val="22"/>
          <w:szCs w:val="22"/>
        </w:rPr>
      </w:pPr>
    </w:p>
    <w:p w14:paraId="09A79A37" w14:textId="77777777" w:rsidR="00D408BC"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„Didieji duomenys leidžia sprendimus priimti ne pavėluotai, kai sezonas jau baigėsi, o realiuoju laiku matant, kaip keičiasi žmonių judėjimas ir elgsena. Tai ypač svarbu regionams, kur net nedideli turistų srautų pokyčiai gali turėti didelę įtaką verslui“, – pažymi I. </w:t>
      </w:r>
      <w:proofErr w:type="spellStart"/>
      <w:r>
        <w:rPr>
          <w:rFonts w:ascii="Times New Roman" w:eastAsia="Times New Roman" w:hAnsi="Times New Roman" w:cs="Times New Roman"/>
          <w:sz w:val="22"/>
          <w:szCs w:val="22"/>
        </w:rPr>
        <w:t>Rudinskaitė</w:t>
      </w:r>
      <w:proofErr w:type="spellEnd"/>
      <w:r>
        <w:rPr>
          <w:rFonts w:ascii="Times New Roman" w:eastAsia="Times New Roman" w:hAnsi="Times New Roman" w:cs="Times New Roman"/>
          <w:sz w:val="22"/>
          <w:szCs w:val="22"/>
        </w:rPr>
        <w:t>.</w:t>
      </w:r>
    </w:p>
    <w:p w14:paraId="7DD3D943" w14:textId="77777777" w:rsidR="00D408BC" w:rsidRDefault="00D408BC">
      <w:pPr>
        <w:jc w:val="both"/>
        <w:rPr>
          <w:rFonts w:ascii="Times New Roman" w:eastAsia="Times New Roman" w:hAnsi="Times New Roman" w:cs="Times New Roman"/>
          <w:sz w:val="22"/>
          <w:szCs w:val="22"/>
        </w:rPr>
      </w:pPr>
    </w:p>
    <w:p w14:paraId="4342E2C4" w14:textId="77777777" w:rsidR="00D408BC" w:rsidRDefault="00000000">
      <w:pPr>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Nauda ne tik verslui, bet ir visam regionui</w:t>
      </w:r>
    </w:p>
    <w:p w14:paraId="7802439B" w14:textId="77777777" w:rsidR="00D408BC" w:rsidRDefault="00D408BC">
      <w:pPr>
        <w:jc w:val="both"/>
        <w:rPr>
          <w:rFonts w:ascii="Times New Roman" w:eastAsia="Times New Roman" w:hAnsi="Times New Roman" w:cs="Times New Roman"/>
          <w:sz w:val="22"/>
          <w:szCs w:val="22"/>
        </w:rPr>
      </w:pPr>
    </w:p>
    <w:p w14:paraId="09E87950" w14:textId="77777777" w:rsidR="00D408BC"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Pasak I. </w:t>
      </w:r>
      <w:proofErr w:type="spellStart"/>
      <w:r>
        <w:rPr>
          <w:rFonts w:ascii="Times New Roman" w:eastAsia="Times New Roman" w:hAnsi="Times New Roman" w:cs="Times New Roman"/>
          <w:sz w:val="22"/>
          <w:szCs w:val="22"/>
        </w:rPr>
        <w:t>Rudinskaitės</w:t>
      </w:r>
      <w:proofErr w:type="spellEnd"/>
      <w:r>
        <w:rPr>
          <w:rFonts w:ascii="Times New Roman" w:eastAsia="Times New Roman" w:hAnsi="Times New Roman" w:cs="Times New Roman"/>
          <w:sz w:val="22"/>
          <w:szCs w:val="22"/>
        </w:rPr>
        <w:t>, stipriausias efektas atsiranda tada, kai duomenimis naudojasi ne pavieniai verslai, o visa regiono bendruomenė – savivaldybės, turizmo centrai ir vietos verslo organizacijos.</w:t>
      </w:r>
    </w:p>
    <w:p w14:paraId="3682AA09" w14:textId="77777777" w:rsidR="00D408BC" w:rsidRDefault="00D408BC">
      <w:pPr>
        <w:jc w:val="both"/>
        <w:rPr>
          <w:rFonts w:ascii="Times New Roman" w:eastAsia="Times New Roman" w:hAnsi="Times New Roman" w:cs="Times New Roman"/>
          <w:sz w:val="22"/>
          <w:szCs w:val="22"/>
        </w:rPr>
      </w:pPr>
    </w:p>
    <w:p w14:paraId="4DC1E90B" w14:textId="77777777" w:rsidR="00D408BC"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„Visi dalyviai gali matyti bendrą vaizdą – populiariausius maršrutus, turistų poreikius ar neišnaudotas teritorijas. Tai padeda kryptingai formuoti regiono identitetą ir koordinuotai vystyti paslaugas“, – sako „Tele2“ Klientų išlaikymo ir analitikos vadovė. </w:t>
      </w:r>
    </w:p>
    <w:p w14:paraId="231639AB" w14:textId="77777777" w:rsidR="00D408BC" w:rsidRDefault="00D408BC">
      <w:pPr>
        <w:jc w:val="both"/>
        <w:rPr>
          <w:rFonts w:ascii="Times New Roman" w:eastAsia="Times New Roman" w:hAnsi="Times New Roman" w:cs="Times New Roman"/>
          <w:sz w:val="22"/>
          <w:szCs w:val="22"/>
        </w:rPr>
      </w:pPr>
    </w:p>
    <w:p w14:paraId="26AF1377" w14:textId="77777777" w:rsidR="00D408BC"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Savivaldybėms tokie duomenys padeda efektyviau planuoti infrastruktūrą – nuo automobilių stovėjimo aikštelių iki viešojo transporto ar pėsčiųjų takų.</w:t>
      </w:r>
    </w:p>
    <w:p w14:paraId="258A7481" w14:textId="77777777" w:rsidR="00D408BC" w:rsidRDefault="00D408BC">
      <w:pPr>
        <w:jc w:val="both"/>
        <w:rPr>
          <w:rFonts w:ascii="Times New Roman" w:eastAsia="Times New Roman" w:hAnsi="Times New Roman" w:cs="Times New Roman"/>
          <w:sz w:val="22"/>
          <w:szCs w:val="22"/>
        </w:rPr>
      </w:pPr>
    </w:p>
    <w:p w14:paraId="4BA43C26" w14:textId="77777777" w:rsidR="00D408BC"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„Analizuojant turistų judėjimo maršrutus galima daug tiksliau planuoti infrastruktūros plėtrą: informacinių ženklų, poilsio aikštelių ar viešųjų tualetų įrengimą populiariausiose vietose“, – pažymi ekspertė.</w:t>
      </w:r>
    </w:p>
    <w:p w14:paraId="76A45BFD" w14:textId="77777777" w:rsidR="00D408BC" w:rsidRDefault="00D408BC">
      <w:pPr>
        <w:jc w:val="both"/>
        <w:rPr>
          <w:rFonts w:ascii="Times New Roman" w:eastAsia="Times New Roman" w:hAnsi="Times New Roman" w:cs="Times New Roman"/>
          <w:sz w:val="22"/>
          <w:szCs w:val="22"/>
        </w:rPr>
      </w:pPr>
    </w:p>
    <w:p w14:paraId="1A69DF1D" w14:textId="77777777" w:rsidR="00D408BC"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Be to, pasak I. </w:t>
      </w:r>
      <w:proofErr w:type="spellStart"/>
      <w:r>
        <w:rPr>
          <w:rFonts w:ascii="Times New Roman" w:eastAsia="Times New Roman" w:hAnsi="Times New Roman" w:cs="Times New Roman"/>
          <w:sz w:val="22"/>
          <w:szCs w:val="22"/>
        </w:rPr>
        <w:t>Rudinskaitės</w:t>
      </w:r>
      <w:proofErr w:type="spellEnd"/>
      <w:r>
        <w:rPr>
          <w:rFonts w:ascii="Times New Roman" w:eastAsia="Times New Roman" w:hAnsi="Times New Roman" w:cs="Times New Roman"/>
          <w:sz w:val="22"/>
          <w:szCs w:val="22"/>
        </w:rPr>
        <w:t xml:space="preserve">, duomenys gali tapti svarbiu argumentu pritraukiant investicijas: „Savivaldybė, turėdama konkrečius duomenis apie turistų srautus ir jų augimo potencialą, gali daug sėkmingiau pritraukti investuotojus naujų viešbučių, SPA centrų ar pramogų kompleksų statybai. Tai reiškia ne tik didesnį turistų srautą, bet ir naujas darbo vietas regione.“ </w:t>
      </w:r>
    </w:p>
    <w:p w14:paraId="6AA12C15" w14:textId="77777777" w:rsidR="00D408BC" w:rsidRDefault="00D408BC">
      <w:pPr>
        <w:jc w:val="both"/>
        <w:rPr>
          <w:rFonts w:ascii="Times New Roman" w:eastAsia="Times New Roman" w:hAnsi="Times New Roman" w:cs="Times New Roman"/>
          <w:sz w:val="22"/>
          <w:szCs w:val="22"/>
        </w:rPr>
      </w:pPr>
    </w:p>
    <w:p w14:paraId="44250595" w14:textId="77777777" w:rsidR="00D408BC" w:rsidRDefault="00000000">
      <w:pP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Daugiau informacijos:</w:t>
      </w:r>
    </w:p>
    <w:p w14:paraId="5B540ACE" w14:textId="77777777" w:rsidR="00D408BC"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Asta Buitkutė</w:t>
      </w:r>
    </w:p>
    <w:p w14:paraId="422F6D55" w14:textId="77777777" w:rsidR="00D408BC"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„Tele2“ atstovė ryšiams su visuomene</w:t>
      </w:r>
    </w:p>
    <w:p w14:paraId="30823052" w14:textId="77777777" w:rsidR="00D408BC"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M +370 668 00467</w:t>
      </w:r>
    </w:p>
    <w:p w14:paraId="0D84767C" w14:textId="77777777" w:rsidR="00D408BC" w:rsidRDefault="00000000">
      <w:pPr>
        <w:jc w:val="both"/>
        <w:rPr>
          <w:rFonts w:ascii="Times New Roman" w:eastAsia="Times New Roman" w:hAnsi="Times New Roman" w:cs="Times New Roman"/>
          <w:color w:val="222222"/>
        </w:rPr>
      </w:pPr>
      <w:r>
        <w:rPr>
          <w:rFonts w:ascii="Times New Roman" w:eastAsia="Times New Roman" w:hAnsi="Times New Roman" w:cs="Times New Roman"/>
          <w:color w:val="000000"/>
        </w:rPr>
        <w:t>@ asta.buitkute@tele2.com</w:t>
      </w:r>
    </w:p>
    <w:sectPr w:rsidR="00D408BC">
      <w:headerReference w:type="default" r:id="rId7"/>
      <w:footerReference w:type="default" r:id="rId8"/>
      <w:pgSz w:w="11900" w:h="16840"/>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29BB2A" w14:textId="77777777" w:rsidR="008E7787" w:rsidRDefault="008E7787">
      <w:r>
        <w:separator/>
      </w:r>
    </w:p>
  </w:endnote>
  <w:endnote w:type="continuationSeparator" w:id="0">
    <w:p w14:paraId="43A297C9" w14:textId="77777777" w:rsidR="008E7787" w:rsidRDefault="008E77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BC7DD5EC-20A8-F244-96D3-E0D0C66B84FC}"/>
    <w:embedBold r:id="rId2" w:fontKey="{4A152037-5AD7-214B-9E29-F9A4EE955A43}"/>
  </w:font>
  <w:font w:name="Times New Roman">
    <w:panose1 w:val="02020603050405020304"/>
    <w:charset w:val="00"/>
    <w:family w:val="roman"/>
    <w:pitch w:val="variable"/>
    <w:sig w:usb0="E0002EFF" w:usb1="C000785B" w:usb2="00000009" w:usb3="00000000" w:csb0="000001FF" w:csb1="00000000"/>
    <w:embedRegular r:id="rId3" w:fontKey="{ADBE8E61-65FC-D94F-A842-0F4EDC95001E}"/>
    <w:embedBold r:id="rId4" w:fontKey="{98BD0B4A-7293-1D44-B25B-A8555B664815}"/>
  </w:font>
  <w:font w:name="Georgia">
    <w:panose1 w:val="02040502050405020303"/>
    <w:charset w:val="00"/>
    <w:family w:val="roman"/>
    <w:pitch w:val="variable"/>
    <w:sig w:usb0="00000287" w:usb1="00000000" w:usb2="00000000" w:usb3="00000000" w:csb0="0000009F" w:csb1="00000000"/>
    <w:embedItalic r:id="rId5" w:fontKey="{9622A886-99F9-4342-9F0D-4974D723F575}"/>
  </w:font>
  <w:font w:name="Arial">
    <w:panose1 w:val="020B0604020202020204"/>
    <w:charset w:val="00"/>
    <w:family w:val="swiss"/>
    <w:pitch w:val="variable"/>
    <w:sig w:usb0="E0002AFF" w:usb1="C0007843" w:usb2="00000009" w:usb3="00000000" w:csb0="000001FF" w:csb1="00000000"/>
    <w:embedRegular r:id="rId6" w:fontKey="{2EDFC628-D3DD-C548-8CED-3C7B23F485B1}"/>
    <w:embedBold r:id="rId7" w:fontKey="{8EF7DCCE-19D7-D647-AB6A-EA5E3F4E9785}"/>
  </w:font>
  <w:font w:name="Cambria">
    <w:panose1 w:val="02040503050406030204"/>
    <w:charset w:val="00"/>
    <w:family w:val="roman"/>
    <w:notTrueType/>
    <w:pitch w:val="default"/>
    <w:embedRegular r:id="rId8" w:fontKey="{6C33C89B-83BD-9942-BCC1-0BDC0F1F5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96DBD" w14:textId="77777777" w:rsidR="00D408BC" w:rsidRDefault="00000000">
    <w:pPr>
      <w:rPr>
        <w:rFonts w:ascii="Arial" w:eastAsia="Arial" w:hAnsi="Arial" w:cs="Arial"/>
        <w:b/>
        <w:bCs/>
        <w:sz w:val="16"/>
        <w:szCs w:val="16"/>
      </w:rPr>
    </w:pPr>
    <w:r>
      <w:rPr>
        <w:rFonts w:ascii="Arial" w:eastAsia="Arial" w:hAnsi="Arial" w:cs="Arial"/>
        <w:b/>
        <w:bCs/>
        <w:sz w:val="16"/>
        <w:szCs w:val="16"/>
      </w:rPr>
      <w:t>Apie „Tele2“</w:t>
    </w:r>
    <w:r>
      <w:rPr>
        <w:noProof/>
      </w:rPr>
      <mc:AlternateContent>
        <mc:Choice Requires="wps">
          <w:drawing>
            <wp:anchor distT="0" distB="0" distL="114300" distR="114300" simplePos="0" relativeHeight="251659264" behindDoc="0" locked="0" layoutInCell="1" hidden="0" allowOverlap="1" wp14:anchorId="4A1BE35A" wp14:editId="2AEDD448">
              <wp:simplePos x="0" y="0"/>
              <wp:positionH relativeFrom="column">
                <wp:posOffset>-919161</wp:posOffset>
              </wp:positionH>
              <wp:positionV relativeFrom="paragraph">
                <wp:posOffset>10224453</wp:posOffset>
              </wp:positionV>
              <wp:extent cx="7566025" cy="282575"/>
              <wp:effectExtent l="0" t="0" r="0" b="0"/>
              <wp:wrapNone/>
              <wp:docPr id="1" name="Rectangle 1" descr="{&quot;HashCode&quot;:-639942987,&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7750" y="3643475"/>
                        <a:ext cx="7556500" cy="273050"/>
                      </a:xfrm>
                      <a:prstGeom prst="rect">
                        <a:avLst/>
                      </a:prstGeom>
                      <a:noFill/>
                      <a:ln>
                        <a:noFill/>
                      </a:ln>
                    </wps:spPr>
                    <wps:txbx>
                      <w:txbxContent>
                        <w:p w14:paraId="00F586CE" w14:textId="77777777" w:rsidR="00D408BC" w:rsidRDefault="00D408BC">
                          <w:pPr>
                            <w:textDirection w:val="btLr"/>
                          </w:pPr>
                        </w:p>
                      </w:txbxContent>
                    </wps:txbx>
                    <wps:bodyPr spcFirstLastPara="1" wrap="square" lIns="254000" tIns="0" rIns="91425" bIns="0" anchor="b" anchorCtr="0">
                      <a:noAutofit/>
                    </wps:bodyPr>
                  </wps:wsp>
                </a:graphicData>
              </a:graphic>
            </wp:anchor>
          </w:drawing>
        </mc:Choice>
        <mc:Fallback>
          <w:pict>
            <v:rect w14:anchorId="4A1BE35A" id="Rectangle 1" o:spid="_x0000_s1026" alt="{&quot;HashCode&quot;:-639942987,&quot;Height&quot;:842.0,&quot;Width&quot;:595.0,&quot;Placement&quot;:&quot;Footer&quot;,&quot;Index&quot;:&quot;Primary&quot;,&quot;Section&quot;:1,&quot;Top&quot;:0.0,&quot;Left&quot;:0.0}" style="position:absolute;margin-left:-72.35pt;margin-top:805.1pt;width:595.75pt;height:22.25pt;z-index:2516592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" filled="f" stroked="f">
              <v:textbox inset="20pt,0,2.53958mm,0">
                <w:txbxContent>
                  <w:p w14:paraId="00F586CE" w14:textId="77777777" w:rsidR="00D408BC" w:rsidRDefault="00D408BC">
                    <w:pPr>
                      <w:textDirection w:val="btLr"/>
                    </w:pPr>
                  </w:p>
                </w:txbxContent>
              </v:textbox>
            </v:rect>
          </w:pict>
        </mc:Fallback>
      </mc:AlternateContent>
    </w:r>
  </w:p>
  <w:p w14:paraId="79038CC6" w14:textId="77777777" w:rsidR="00D408BC" w:rsidRDefault="00000000">
    <w:pPr>
      <w:jc w:val="both"/>
      <w:rPr>
        <w:rFonts w:ascii="Arial" w:eastAsia="Arial" w:hAnsi="Arial" w:cs="Arial"/>
        <w:color w:val="0000FF"/>
        <w:sz w:val="18"/>
        <w:szCs w:val="18"/>
        <w:u w:val="single"/>
      </w:rPr>
    </w:pPr>
    <w:r>
      <w:rPr>
        <w:rFonts w:ascii="Arial" w:eastAsia="Arial" w:hAnsi="Arial" w:cs="Arial"/>
        <w:sz w:val="18"/>
        <w:szCs w:val="18"/>
      </w:rPr>
      <w:t xml:space="preserve">„Tele2“ nuolatos siekia teikti geriausius pasiūlymus ir siūlyti mažiausias kainas rinkoje. Bendrovė teikia mobiliojo ir fiksuoto ryšio, duomenų perdavimo, kabelinės televizijos, turinio ir daiktų interneto sprendimų paslaugas milijonams klientų. Nuo 1993 m., kai </w:t>
    </w:r>
    <w:proofErr w:type="spellStart"/>
    <w:r>
      <w:rPr>
        <w:rFonts w:ascii="Arial" w:eastAsia="Arial" w:hAnsi="Arial" w:cs="Arial"/>
        <w:sz w:val="18"/>
        <w:szCs w:val="18"/>
      </w:rPr>
      <w:t>Jan</w:t>
    </w:r>
    <w:proofErr w:type="spellEnd"/>
    <w:r>
      <w:rPr>
        <w:rFonts w:ascii="Arial" w:eastAsia="Arial" w:hAnsi="Arial" w:cs="Arial"/>
        <w:sz w:val="18"/>
        <w:szCs w:val="18"/>
      </w:rPr>
      <w:t xml:space="preserve"> </w:t>
    </w:r>
    <w:proofErr w:type="spellStart"/>
    <w:r>
      <w:rPr>
        <w:rFonts w:ascii="Arial" w:eastAsia="Arial" w:hAnsi="Arial" w:cs="Arial"/>
        <w:sz w:val="18"/>
        <w:szCs w:val="18"/>
      </w:rPr>
      <w:t>Stenbeck</w:t>
    </w:r>
    <w:proofErr w:type="spellEnd"/>
    <w:r>
      <w:rPr>
        <w:rFonts w:ascii="Arial" w:eastAsia="Arial" w:hAnsi="Arial" w:cs="Arial"/>
        <w:sz w:val="18"/>
        <w:szCs w:val="18"/>
      </w:rPr>
      <w:t xml:space="preserve"> įkūrė bendrovę, ji tapo rimtu konkurentu buvusioms valstybinėms monopolijoms ir kitiems ryšio tiekėjams. Nuo 1996 m. „Tele2“ įtraukta į NASDAQ OMX Stokholmo vertybinių popierių biržos sąrašus. Lietuvoje „Tele2“ pradėjo veiklą 2000 metais. Aplankykite mus </w:t>
    </w:r>
    <w:hyperlink r:id="rId1">
      <w:r>
        <w:rPr>
          <w:rFonts w:ascii="Arial" w:eastAsia="Arial" w:hAnsi="Arial" w:cs="Arial"/>
          <w:color w:val="0000FF"/>
          <w:sz w:val="18"/>
          <w:szCs w:val="18"/>
          <w:u w:val="single"/>
        </w:rPr>
        <w:t>www.tele2.lt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5D2B76" w14:textId="77777777" w:rsidR="008E7787" w:rsidRDefault="008E7787">
      <w:r>
        <w:separator/>
      </w:r>
    </w:p>
  </w:footnote>
  <w:footnote w:type="continuationSeparator" w:id="0">
    <w:p w14:paraId="2F469190" w14:textId="77777777" w:rsidR="008E7787" w:rsidRDefault="008E77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76B7B" w14:textId="77777777" w:rsidR="00D408BC" w:rsidRDefault="00000000">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2F1AB9D2" wp14:editId="2F577B24">
          <wp:simplePos x="0" y="0"/>
          <wp:positionH relativeFrom="column">
            <wp:posOffset>4753610</wp:posOffset>
          </wp:positionH>
          <wp:positionV relativeFrom="paragraph">
            <wp:posOffset>-266064</wp:posOffset>
          </wp:positionV>
          <wp:extent cx="1046191" cy="557969"/>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46191" cy="557969"/>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8BC"/>
    <w:rsid w:val="008E7787"/>
    <w:rsid w:val="009F41C9"/>
    <w:rsid w:val="00D408BC"/>
    <w:rsid w:val="00F35A1D"/>
  </w:rsids>
  <m:mathPr>
    <m:mathFont m:val="Cambria Math"/>
    <m:brkBin m:val="before"/>
    <m:brkBinSub m:val="--"/>
    <m:smallFrac m:val="0"/>
    <m:dispDef/>
    <m:lMargin m:val="0"/>
    <m:rMargin m:val="0"/>
    <m:defJc m:val="centerGroup"/>
    <m:wrapIndent m:val="1440"/>
    <m:intLim m:val="subSup"/>
    <m:naryLim m:val="undOvr"/>
  </m:mathPr>
  <w:themeFontLang w:val="en-LT"/>
  <w:clrSchemeMapping w:bg1="light1" w:t1="dark1" w:bg2="light2" w:t2="dark2" w:accent1="accent1" w:accent2="accent2" w:accent3="accent3" w:accent4="accent4" w:accent5="accent5" w:accent6="accent6" w:hyperlink="hyperlink" w:followedHyperlink="followedHyperlink"/>
  <w:decimalSymbol w:val=","/>
  <w:listSeparator w:val=","/>
  <w14:docId w14:val="303D2AA1"/>
  <w15:docId w15:val="{77F2398D-40B9-4E4B-A13B-E5A3E7967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lt"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tele2.l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v9Heh79Sb9wSJt1xt7XKShxn/w==">CgMxLjA4AGokChNzdWdnZXN0LnpjbGIyaGo4Z2duEg1Bc3RhIEJ1aXRrdXRlciExRHhVeC0zVlBKUWY5dTJRWnFCNUx6WmtCaTM5WmJFa0o=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601</Words>
  <Characters>3428</Characters>
  <Application>Microsoft Office Word</Application>
  <DocSecurity>0</DocSecurity>
  <Lines>28</Lines>
  <Paragraphs>8</Paragraphs>
  <ScaleCrop>false</ScaleCrop>
  <Company/>
  <LinksUpToDate>false</LinksUpToDate>
  <CharactersWithSpaces>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Gravitas Partners</cp:lastModifiedBy>
  <cp:revision>2</cp:revision>
  <dcterms:created xsi:type="dcterms:W3CDTF">2026-05-21T06:20:00Z</dcterms:created>
  <dcterms:modified xsi:type="dcterms:W3CDTF">2026-05-21T06:25:00Z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cca9737-3fb7-4a23-a452-5fd2dddae788_Enabled">
    <vt:lpwstr>true</vt:lpwstr>
  </property>
  <property fmtid="{D5CDD505-2E9C-101B-9397-08002B2CF9AE}" pid="3" name="MSIP_Label_ecca9737-3fb7-4a23-a452-5fd2dddae788_SetDate">
    <vt:lpwstr>2021-07-05T05:13:11Z</vt:lpwstr>
  </property>
  <property fmtid="{D5CDD505-2E9C-101B-9397-08002B2CF9AE}" pid="4" name="MSIP_Label_ecca9737-3fb7-4a23-a452-5fd2dddae788_Method">
    <vt:lpwstr>Standard</vt:lpwstr>
  </property>
  <property fmtid="{D5CDD505-2E9C-101B-9397-08002B2CF9AE}" pid="5" name="MSIP_Label_ecca9737-3fb7-4a23-a452-5fd2dddae788_Name">
    <vt:lpwstr>Internal</vt:lpwstr>
  </property>
  <property fmtid="{D5CDD505-2E9C-101B-9397-08002B2CF9AE}" pid="6" name="MSIP_Label_ecca9737-3fb7-4a23-a452-5fd2dddae788_SiteId">
    <vt:lpwstr>76431109-ff89-42c2-8781-a07ca07a2d57</vt:lpwstr>
  </property>
  <property fmtid="{D5CDD505-2E9C-101B-9397-08002B2CF9AE}" pid="7" name="MSIP_Label_ecca9737-3fb7-4a23-a452-5fd2dddae788_ActionId">
    <vt:lpwstr>55c7c224-13ca-42fc-9f2a-8bfe461c24fc</vt:lpwstr>
  </property>
  <property fmtid="{D5CDD505-2E9C-101B-9397-08002B2CF9AE}" pid="8" name="MSIP_Label_ecca9737-3fb7-4a23-a452-5fd2dddae788_ContentBits">
    <vt:lpwstr>2</vt:lpwstr>
  </property>
  <property fmtid="{D5CDD505-2E9C-101B-9397-08002B2CF9AE}" pid="9" name="GrammarlyDocumentId">
    <vt:lpwstr>a7bab780030ea9a742b2af2ed669654013791b30c7984ad079e31a1d543ee316</vt:lpwstr>
  </property>
</Properties>
</file>