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757AA" w14:textId="5F03C45C" w:rsidR="00CB420C"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2026 05 20</w:t>
      </w:r>
    </w:p>
    <w:p w14:paraId="709AD0FF" w14:textId="77777777" w:rsidR="00CB420C" w:rsidRDefault="00CB420C">
      <w:pPr>
        <w:spacing w:before="280" w:after="280"/>
        <w:jc w:val="center"/>
        <w:rPr>
          <w:rFonts w:ascii="Times New Roman" w:eastAsia="Times New Roman" w:hAnsi="Times New Roman" w:cs="Times New Roman"/>
          <w:b/>
          <w:bCs/>
        </w:rPr>
      </w:pPr>
    </w:p>
    <w:p w14:paraId="7E50C856" w14:textId="77777777" w:rsidR="00CB420C" w:rsidRDefault="00000000">
      <w:pPr>
        <w:spacing w:before="280" w:after="280"/>
        <w:jc w:val="center"/>
        <w:rPr>
          <w:rFonts w:ascii="Times New Roman" w:eastAsia="Times New Roman" w:hAnsi="Times New Roman" w:cs="Times New Roman"/>
          <w:b/>
          <w:bCs/>
        </w:rPr>
      </w:pPr>
      <w:r>
        <w:rPr>
          <w:rFonts w:ascii="Times New Roman" w:eastAsia="Times New Roman" w:hAnsi="Times New Roman" w:cs="Times New Roman"/>
          <w:b/>
          <w:bCs/>
        </w:rPr>
        <w:t xml:space="preserve">Netikros svetainės atrodo vis </w:t>
      </w:r>
      <w:proofErr w:type="spellStart"/>
      <w:r>
        <w:rPr>
          <w:rFonts w:ascii="Times New Roman" w:eastAsia="Times New Roman" w:hAnsi="Times New Roman" w:cs="Times New Roman"/>
          <w:b/>
          <w:bCs/>
        </w:rPr>
        <w:t>įtikinamesnės</w:t>
      </w:r>
      <w:proofErr w:type="spellEnd"/>
      <w:r>
        <w:rPr>
          <w:rFonts w:ascii="Times New Roman" w:eastAsia="Times New Roman" w:hAnsi="Times New Roman" w:cs="Times New Roman"/>
          <w:b/>
          <w:bCs/>
        </w:rPr>
        <w:t>: vien per mėnesį užblokuota 65 mln. grėsmių</w:t>
      </w:r>
    </w:p>
    <w:p w14:paraId="7C227543" w14:textId="77777777" w:rsidR="00CB420C"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2026 m. balandį „Tele2“ interneto apsauga užblokavo daugiau kaip 65,7 mln. kibernetinių grėsmių. Tarp dažniausiai fiksuotų grėsmių dominavo kenkėjiškos programos, juodajame sąraše esantys domenai ir pažeistos svetainės.</w:t>
      </w:r>
    </w:p>
    <w:p w14:paraId="50F98C71"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Didžiausio mobiliojo ryšio operatoriaus „Tele2“ duomenimis, balandį dažniausia interneto grėsmė buvo kenkėjiškos programos. Per mėnesį jų nustatyta daugiau kaip 57,5 mln., o antroje vietoje pagal dažnį atsidūrė juodajame sąraše esantys domenai.</w:t>
      </w:r>
    </w:p>
    <w:p w14:paraId="108DA3B2" w14:textId="77777777" w:rsidR="00CB420C"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Pavojai slepiasi kasdienėse situacijose</w:t>
      </w:r>
    </w:p>
    <w:p w14:paraId="24CD9292"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Kenkėjiškos programos dažnai plinta per apgaulingas nuorodas, netikras svetaines ar iš pirmo žvilgsnio patikimai atrodančius pasiūlymus. Vartotojas gali net nepastebėti, kada paspaudžia pavojingą nuorodą ar atsisiunčia kenksmingą failą.</w:t>
      </w:r>
    </w:p>
    <w:p w14:paraId="7D7CB9A3"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„Kenkėjišką programinę įrangą galime įsivaizduoti kaip tylų skaitmeninį vagį. Jis nesibrauna pro duris – jis nepastebimai įsiskverbia į jūsų telefoną ar kompiuterį. Užuot ieškojęs daiktų, jis medžioja jūsų duomenis: prisijungimus, banko informaciją ar asmenines nuotraukas. Kartais jis nieko nepaima, o tiesiog slapta naudojasi jūsų įrenginio resursais savo tikslams“, – sako „Tele2“ produkto vadovas Donatas </w:t>
      </w:r>
      <w:proofErr w:type="spellStart"/>
      <w:r>
        <w:rPr>
          <w:rFonts w:ascii="Times New Roman" w:eastAsia="Times New Roman" w:hAnsi="Times New Roman" w:cs="Times New Roman"/>
        </w:rPr>
        <w:t>Drakickas</w:t>
      </w:r>
      <w:proofErr w:type="spellEnd"/>
      <w:r>
        <w:rPr>
          <w:rFonts w:ascii="Times New Roman" w:eastAsia="Times New Roman" w:hAnsi="Times New Roman" w:cs="Times New Roman"/>
        </w:rPr>
        <w:t>.</w:t>
      </w:r>
    </w:p>
    <w:p w14:paraId="34EA90CF"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Pasak jo, tarp dažniausių mėnesio grėsmių taip pat patenka pažeistos svetainės, sukčiavimo atakos ir juodajame sąraše esantys domenai. </w:t>
      </w:r>
    </w:p>
    <w:p w14:paraId="25C232F0"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„Pažeistos svetainės – tai teisėti puslapiai, į kuriuos buvo įsilaužta ir kurie naudojami kenkėjiškam turiniui platinti ar vartotojų duomenims vogti. Tuo metu sukčiavimas dažniausiai prasideda nuo patikimai atrodančios žinutės ar laiško, kuriuo siekiama išvilioti jautrią informaciją“, – aiškina D. </w:t>
      </w:r>
      <w:proofErr w:type="spellStart"/>
      <w:r>
        <w:rPr>
          <w:rFonts w:ascii="Times New Roman" w:eastAsia="Times New Roman" w:hAnsi="Times New Roman" w:cs="Times New Roman"/>
        </w:rPr>
        <w:t>Drakickas</w:t>
      </w:r>
      <w:proofErr w:type="spellEnd"/>
      <w:r>
        <w:rPr>
          <w:rFonts w:ascii="Times New Roman" w:eastAsia="Times New Roman" w:hAnsi="Times New Roman" w:cs="Times New Roman"/>
        </w:rPr>
        <w:t>.</w:t>
      </w:r>
    </w:p>
    <w:p w14:paraId="2628DD95" w14:textId="77777777" w:rsidR="00CB420C"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Sukčiai nuolat keičia metodus</w:t>
      </w:r>
    </w:p>
    <w:p w14:paraId="08C9600B" w14:textId="77777777" w:rsidR="00CB420C"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Pastaruoju metu daugėja ir masinių duomenų nutekėjimų, kai į viešumą patenka milijonai vartotojų įrašų. Kibernetinio saugumo tyrėjai neseniai aptiko beveik 1 mlrd. vartotojų duomenų įrašų turinčią neapsaugotą duomenų bazę, kurioje buvo žmonių asmens duomenys, elektroninio pašto adresai ir telefonų numeriai iš 26 pasaulio šalių.</w:t>
      </w:r>
    </w:p>
    <w:p w14:paraId="30764157"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 </w:t>
      </w:r>
      <w:proofErr w:type="spellStart"/>
      <w:r>
        <w:rPr>
          <w:rFonts w:ascii="Times New Roman" w:eastAsia="Times New Roman" w:hAnsi="Times New Roman" w:cs="Times New Roman"/>
        </w:rPr>
        <w:t>Drakickas</w:t>
      </w:r>
      <w:proofErr w:type="spellEnd"/>
      <w:r>
        <w:rPr>
          <w:rFonts w:ascii="Times New Roman" w:eastAsia="Times New Roman" w:hAnsi="Times New Roman" w:cs="Times New Roman"/>
        </w:rPr>
        <w:t xml:space="preserve"> atkreipia dėmesį, kad šiandien sukčiai vis dažniau naudojasi gerai žinomais prekių ženklais ir populiariomis paslaugomis. Vieni dažniausių pavyzdžių – netikri VPN puslapiai, suklastoti prisijungimo langai ar fiktyvios kazino platformos.</w:t>
      </w:r>
    </w:p>
    <w:p w14:paraId="43B57B0D"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„Netikros VPN svetainės apsimeta teisėtais paslaugų teikėjais ir bando išvilioti prisijungimo duomenis, mokėjimo informaciją ar kitus asmens duomenis. Dažniausiai tai daroma siūlant nemokamus arba labai pigius privatumo įrankius“, – sako D. </w:t>
      </w:r>
      <w:proofErr w:type="spellStart"/>
      <w:r>
        <w:rPr>
          <w:rFonts w:ascii="Times New Roman" w:eastAsia="Times New Roman" w:hAnsi="Times New Roman" w:cs="Times New Roman"/>
        </w:rPr>
        <w:t>Drakickas</w:t>
      </w:r>
      <w:proofErr w:type="spellEnd"/>
      <w:r>
        <w:rPr>
          <w:rFonts w:ascii="Times New Roman" w:eastAsia="Times New Roman" w:hAnsi="Times New Roman" w:cs="Times New Roman"/>
        </w:rPr>
        <w:t>.</w:t>
      </w:r>
    </w:p>
    <w:p w14:paraId="243E7066"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Anot jo, dar viena dažna taktika – suklastoti prisijungimo puslapiai, kurie atrodo kaip gerai žinomų platformų langai. </w:t>
      </w:r>
    </w:p>
    <w:p w14:paraId="0A6AC842"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„Žmogus mano, kad jungiasi prie tikros platformos, tačiau iš tiesų savo prisijungimo duomenis perduoda sukčiams“, – aiškina D. </w:t>
      </w:r>
      <w:proofErr w:type="spellStart"/>
      <w:r>
        <w:rPr>
          <w:rFonts w:ascii="Times New Roman" w:eastAsia="Times New Roman" w:hAnsi="Times New Roman" w:cs="Times New Roman"/>
        </w:rPr>
        <w:t>Drakickas</w:t>
      </w:r>
      <w:proofErr w:type="spellEnd"/>
      <w:r>
        <w:rPr>
          <w:rFonts w:ascii="Times New Roman" w:eastAsia="Times New Roman" w:hAnsi="Times New Roman" w:cs="Times New Roman"/>
        </w:rPr>
        <w:t>.</w:t>
      </w:r>
    </w:p>
    <w:p w14:paraId="3D913F3A"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Jis priduria, kad ne mažiau pavojingos ir netikros kazino svetainės, į kurias vartotojai dažnai nukreipiami per reklamas: „Dažnas scenarijus paprastas: žmogus pamato naujo kazino reklamą su registracijos nuoroda, paspaudžia ją ir patenka į sukčiavimo svetainę. Ten suvedus asmeninius ar mokėjimo duomenis, jie gali būti panaudoti neteisėtiems mokėjimams ar pinigų vagystėms iš sąskaitos.“</w:t>
      </w:r>
    </w:p>
    <w:p w14:paraId="08337734" w14:textId="77777777" w:rsidR="00CB420C"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Būdai išvengti sukčiavimo pinklių</w:t>
      </w:r>
    </w:p>
    <w:p w14:paraId="3970C548"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Vienas efektyviausių būdų apsisaugoti nuo tokių grėsmių, pasak D. </w:t>
      </w:r>
      <w:proofErr w:type="spellStart"/>
      <w:r>
        <w:rPr>
          <w:rFonts w:ascii="Times New Roman" w:eastAsia="Times New Roman" w:hAnsi="Times New Roman" w:cs="Times New Roman"/>
        </w:rPr>
        <w:t>Drakicko</w:t>
      </w:r>
      <w:proofErr w:type="spellEnd"/>
      <w:r>
        <w:rPr>
          <w:rFonts w:ascii="Times New Roman" w:eastAsia="Times New Roman" w:hAnsi="Times New Roman" w:cs="Times New Roman"/>
        </w:rPr>
        <w:t>, yra interneto apsauga, kuri padeda užblokuoti vartotojo patekimą į kenksmingą svetainę dar prieš grėsmei pasiekiant telefoną ar kompiuterį.</w:t>
      </w:r>
    </w:p>
    <w:p w14:paraId="364D2842"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„Interneto apsauga „Tele2“ veikia tinklo lygiu, todėl vartotojams nereikia papildomai diegti programėlių ar antivirusinių sistemų. Visa apsauga vyksta operatoriaus tinkle: vartotojui atidarius svetainę ar paspaudus nuorodą, adresas patikrinamas realiuoju laiku. Jei aptinkama grėsmė, ryšys blokuojamas dar prieš pavojingam turiniui pasiekiant įrenginį“, – aiškina D. </w:t>
      </w:r>
      <w:proofErr w:type="spellStart"/>
      <w:r>
        <w:rPr>
          <w:rFonts w:ascii="Times New Roman" w:eastAsia="Times New Roman" w:hAnsi="Times New Roman" w:cs="Times New Roman"/>
        </w:rPr>
        <w:t>Drakickas</w:t>
      </w:r>
      <w:proofErr w:type="spellEnd"/>
      <w:r>
        <w:rPr>
          <w:rFonts w:ascii="Times New Roman" w:eastAsia="Times New Roman" w:hAnsi="Times New Roman" w:cs="Times New Roman"/>
        </w:rPr>
        <w:t>.</w:t>
      </w:r>
    </w:p>
    <w:p w14:paraId="490E424B"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Sistema padeda blokuoti kenksmingas svetaines, sukčiavimo puslapius ir pavojingas nuorodas žinutėse ar internete. Ji taip pat gali atpažinti netikras svetaines, kurios imituoja bankus, elektronines parduotuves ar gerai žinomas platformas. </w:t>
      </w:r>
    </w:p>
    <w:p w14:paraId="43121AAD" w14:textId="77777777" w:rsidR="00CB420C"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„Didelė dalis žmonių apie sustabdytas grėsmes net nesužino, nes jos blokuojamos automatiškai. Tokios apsaugos esmė – sustabdyti pavojų dar prieš jam pasiekiant žmogų“, – sako D. </w:t>
      </w:r>
      <w:proofErr w:type="spellStart"/>
      <w:r>
        <w:rPr>
          <w:rFonts w:ascii="Times New Roman" w:eastAsia="Times New Roman" w:hAnsi="Times New Roman" w:cs="Times New Roman"/>
        </w:rPr>
        <w:t>Drakickas</w:t>
      </w:r>
      <w:proofErr w:type="spellEnd"/>
      <w:r>
        <w:rPr>
          <w:rFonts w:ascii="Times New Roman" w:eastAsia="Times New Roman" w:hAnsi="Times New Roman" w:cs="Times New Roman"/>
        </w:rPr>
        <w:t>.</w:t>
      </w:r>
    </w:p>
    <w:p w14:paraId="28963A1D" w14:textId="77777777" w:rsidR="00CB420C" w:rsidRDefault="00CB420C">
      <w:pPr>
        <w:jc w:val="both"/>
        <w:rPr>
          <w:rFonts w:ascii="Times New Roman" w:eastAsia="Times New Roman" w:hAnsi="Times New Roman" w:cs="Times New Roman"/>
          <w:sz w:val="22"/>
          <w:szCs w:val="22"/>
        </w:rPr>
      </w:pPr>
    </w:p>
    <w:p w14:paraId="26402727" w14:textId="77777777" w:rsidR="00CB420C"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062ADAFD" w14:textId="77777777" w:rsidR="00CB420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351FCAE4" w14:textId="77777777" w:rsidR="00CB420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1FB76266" w14:textId="77777777" w:rsidR="00CB420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5946A72A" w14:textId="77777777" w:rsidR="00CB420C"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CB420C">
      <w:headerReference w:type="default" r:id="rId7"/>
      <w:footerReference w:type="default" r:id="rId8"/>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A9898" w14:textId="77777777" w:rsidR="006F60C0" w:rsidRDefault="006F60C0">
      <w:r>
        <w:separator/>
      </w:r>
    </w:p>
  </w:endnote>
  <w:endnote w:type="continuationSeparator" w:id="0">
    <w:p w14:paraId="073F14A0" w14:textId="77777777" w:rsidR="006F60C0" w:rsidRDefault="006F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embedRegular r:id="rId1" w:fontKey="{978DAC6A-4751-1349-A71D-9FA58BCD511E}"/>
    <w:embedBold r:id="rId2" w:fontKey="{FF86BD7D-690A-9B49-8B14-B414132D9A15}"/>
  </w:font>
  <w:font w:name="Times New Roman">
    <w:panose1 w:val="02020603050405020304"/>
    <w:charset w:val="BA"/>
    <w:family w:val="roman"/>
    <w:pitch w:val="variable"/>
    <w:sig w:usb0="E0002EFF" w:usb1="C000785B" w:usb2="00000009" w:usb3="00000000" w:csb0="000001FF" w:csb1="00000000"/>
    <w:embedRegular r:id="rId3" w:fontKey="{8F70FFD7-42E9-8543-88D5-040E7844462A}"/>
    <w:embedBold r:id="rId4" w:fontKey="{2AF16A4C-E5E6-4144-B12D-AB0B54036690}"/>
  </w:font>
  <w:font w:name="Georgia">
    <w:panose1 w:val="02040502050405020303"/>
    <w:charset w:val="00"/>
    <w:family w:val="roman"/>
    <w:pitch w:val="variable"/>
    <w:sig w:usb0="00000287" w:usb1="00000000" w:usb2="00000000" w:usb3="00000000" w:csb0="0000009F" w:csb1="00000000"/>
    <w:embedItalic r:id="rId5" w:fontKey="{7DDD22CE-F6EA-4D42-9402-D716FF62EDF8}"/>
  </w:font>
  <w:font w:name="Arial">
    <w:panose1 w:val="020B0604020202020204"/>
    <w:charset w:val="00"/>
    <w:family w:val="swiss"/>
    <w:pitch w:val="variable"/>
    <w:sig w:usb0="E0002AFF" w:usb1="C0007843" w:usb2="00000009" w:usb3="00000000" w:csb0="000001FF" w:csb1="00000000"/>
    <w:embedRegular r:id="rId6" w:fontKey="{E05D3BC1-B8DD-CA4A-9535-1EE9067DA762}"/>
    <w:embedBold r:id="rId7" w:fontKey="{A273F756-9761-B346-9B37-8C9F12B38C7D}"/>
  </w:font>
  <w:font w:name="Cambria">
    <w:panose1 w:val="02040503050406030204"/>
    <w:charset w:val="00"/>
    <w:family w:val="roman"/>
    <w:pitch w:val="variable"/>
    <w:sig w:usb0="E00002FF" w:usb1="400004FF" w:usb2="00000000" w:usb3="00000000" w:csb0="0000019F" w:csb1="00000000"/>
    <w:embedRegular r:id="rId8" w:fontKey="{58D00C7C-042A-0F4D-8730-42579B5E2A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9CFF5" w14:textId="77777777" w:rsidR="00CB420C"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s">
          <w:drawing>
            <wp:anchor distT="0" distB="0" distL="114300" distR="114300" simplePos="0" relativeHeight="251659264" behindDoc="0" locked="0" layoutInCell="1" hidden="0" allowOverlap="1" wp14:anchorId="61F6EA9A" wp14:editId="5892F913">
              <wp:simplePos x="0" y="0"/>
              <wp:positionH relativeFrom="column">
                <wp:posOffset>-923921</wp:posOffset>
              </wp:positionH>
              <wp:positionV relativeFrom="paragraph">
                <wp:posOffset>10219691</wp:posOffset>
              </wp:positionV>
              <wp:extent cx="7575550" cy="292100"/>
              <wp:effectExtent l="0" t="0" r="0" b="0"/>
              <wp:wrapNone/>
              <wp:docPr id="1" name="Rectangle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196A33A8" w14:textId="77777777" w:rsidR="00CB420C" w:rsidRDefault="00CB420C">
                          <w:pPr>
                            <w:textDirection w:val="btLr"/>
                          </w:pPr>
                        </w:p>
                      </w:txbxContent>
                    </wps:txbx>
                    <wps:bodyPr spcFirstLastPara="1" wrap="square" lIns="254000" tIns="0" rIns="91425" bIns="0" anchor="b" anchorCtr="0">
                      <a:noAutofit/>
                    </wps:bodyPr>
                  </wps:wsp>
                </a:graphicData>
              </a:graphic>
            </wp:anchor>
          </w:drawing>
        </mc:Choice>
        <mc:Fallback>
          <w:pict>
            <v:rect w14:anchorId="61F6EA9A" id="Rectangle 1" o:spid="_x0000_s1026" alt="{&quot;HashCode&quot;:-639942987,&quot;Height&quot;:842.0,&quot;Width&quot;:595.0,&quot;Placement&quot;:&quot;Footer&quot;,&quot;Index&quot;:&quot;Primary&quot;,&quot;Section&quot;:1,&quot;Top&quot;:0.0,&quot;Left&quot;:0.0}" style="position:absolute;margin-left:-72.75pt;margin-top:804.7pt;width:596.5pt;height:23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" filled="f" stroked="f">
              <v:textbox inset="20pt,0,2.53958mm,0">
                <w:txbxContent>
                  <w:p w14:paraId="196A33A8" w14:textId="77777777" w:rsidR="00CB420C" w:rsidRDefault="00CB420C">
                    <w:pPr>
                      <w:textDirection w:val="btLr"/>
                    </w:pPr>
                  </w:p>
                </w:txbxContent>
              </v:textbox>
            </v:rect>
          </w:pict>
        </mc:Fallback>
      </mc:AlternateContent>
    </w:r>
  </w:p>
  <w:p w14:paraId="7E9BACE9" w14:textId="77777777" w:rsidR="00CB420C"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1">
      <w:r>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4ECFA" w14:textId="77777777" w:rsidR="006F60C0" w:rsidRDefault="006F60C0">
      <w:r>
        <w:separator/>
      </w:r>
    </w:p>
  </w:footnote>
  <w:footnote w:type="continuationSeparator" w:id="0">
    <w:p w14:paraId="17E36536" w14:textId="77777777" w:rsidR="006F60C0" w:rsidRDefault="006F6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DA030" w14:textId="77777777" w:rsidR="00CB420C"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1A08F0C6" wp14:editId="6409AB21">
          <wp:simplePos x="0" y="0"/>
          <wp:positionH relativeFrom="column">
            <wp:posOffset>4753610</wp:posOffset>
          </wp:positionH>
          <wp:positionV relativeFrom="paragraph">
            <wp:posOffset>-266063</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20C"/>
    <w:rsid w:val="0004221F"/>
    <w:rsid w:val="006F60C0"/>
    <w:rsid w:val="008265D0"/>
    <w:rsid w:val="00CB420C"/>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5AA1F67C"/>
  <w15:docId w15:val="{B038804C-1858-914F-92B5-8824F230C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le2.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8kWUaXH+Hj/NLOK56VxDxqGNJQ==">CgMxLjA4AHIhMWh1cFZlU1dLNTY2aTJtVkZvWkF0c0duX1NKUWViaVJy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655</Words>
  <Characters>3736</Characters>
  <Application>Microsoft Office Word</Application>
  <DocSecurity>0</DocSecurity>
  <Lines>31</Lines>
  <Paragraphs>8</Paragraphs>
  <ScaleCrop>false</ScaleCrop>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Gravitas Partners</cp:lastModifiedBy>
  <cp:revision>2</cp:revision>
  <dcterms:created xsi:type="dcterms:W3CDTF">2026-05-20T05:21:00Z</dcterms:created>
  <dcterms:modified xsi:type="dcterms:W3CDTF">2026-05-20T05:22:00Z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