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324D" w14:textId="3517574A" w:rsidR="004C0267" w:rsidRDefault="000A463C" w:rsidP="004C0267">
      <w:pPr>
        <w:spacing w:after="120"/>
        <w:jc w:val="both"/>
        <w:rPr>
          <w:rFonts w:ascii="Calibri" w:hAnsi="Calibri" w:cs="Calibri"/>
          <w:sz w:val="22"/>
          <w:szCs w:val="22"/>
        </w:rPr>
      </w:pPr>
      <w:r w:rsidRPr="000A463C">
        <w:rPr>
          <w:rFonts w:ascii="Calibri" w:hAnsi="Calibri" w:cs="Calibri"/>
          <w:b/>
          <w:bCs/>
          <w:sz w:val="22"/>
          <w:szCs w:val="22"/>
        </w:rPr>
        <w:t xml:space="preserve">Spintos kapsulė: </w:t>
      </w:r>
      <w:r w:rsidR="00965983">
        <w:rPr>
          <w:rFonts w:ascii="Calibri" w:hAnsi="Calibri" w:cs="Calibri"/>
          <w:b/>
          <w:bCs/>
          <w:sz w:val="22"/>
          <w:szCs w:val="22"/>
        </w:rPr>
        <w:t xml:space="preserve">stilistė atsakė, </w:t>
      </w:r>
      <w:r w:rsidRPr="000A463C">
        <w:rPr>
          <w:rFonts w:ascii="Calibri" w:hAnsi="Calibri" w:cs="Calibri"/>
          <w:b/>
          <w:bCs/>
          <w:sz w:val="22"/>
          <w:szCs w:val="22"/>
        </w:rPr>
        <w:t>kodėl metų pradžioje ji tampa ypač aktuali</w:t>
      </w:r>
    </w:p>
    <w:p w14:paraId="3BE7A85C" w14:textId="2DEEF740" w:rsidR="00F62B0F" w:rsidRDefault="00F62B0F" w:rsidP="007A0E8D">
      <w:pPr>
        <w:spacing w:after="120"/>
        <w:jc w:val="both"/>
        <w:rPr>
          <w:rFonts w:ascii="Calibri" w:hAnsi="Calibri" w:cs="Calibri"/>
          <w:b/>
          <w:bCs/>
          <w:sz w:val="22"/>
          <w:szCs w:val="22"/>
        </w:rPr>
      </w:pPr>
      <w:r>
        <w:rPr>
          <w:rFonts w:ascii="Calibri" w:hAnsi="Calibri" w:cs="Calibri"/>
          <w:b/>
          <w:bCs/>
          <w:sz w:val="22"/>
          <w:szCs w:val="22"/>
        </w:rPr>
        <w:t xml:space="preserve">Metų pradžioje </w:t>
      </w:r>
      <w:r w:rsidRPr="00F62B0F">
        <w:rPr>
          <w:rFonts w:ascii="Calibri" w:hAnsi="Calibri" w:cs="Calibri"/>
          <w:b/>
          <w:bCs/>
          <w:sz w:val="22"/>
          <w:szCs w:val="22"/>
        </w:rPr>
        <w:t xml:space="preserve">daugelis peržiūri savo spintas ir drabužines. </w:t>
      </w:r>
      <w:r w:rsidRPr="007A0E8D">
        <w:rPr>
          <w:rFonts w:ascii="Calibri" w:hAnsi="Calibri" w:cs="Calibri"/>
          <w:b/>
          <w:bCs/>
          <w:sz w:val="22"/>
          <w:szCs w:val="22"/>
        </w:rPr>
        <w:t xml:space="preserve">Pasak mados ekspertų, </w:t>
      </w:r>
      <w:r>
        <w:rPr>
          <w:rFonts w:ascii="Calibri" w:hAnsi="Calibri" w:cs="Calibri"/>
          <w:b/>
          <w:bCs/>
          <w:sz w:val="22"/>
          <w:szCs w:val="22"/>
        </w:rPr>
        <w:t xml:space="preserve">tai geras laikas </w:t>
      </w:r>
      <w:r w:rsidRPr="007A0E8D">
        <w:rPr>
          <w:rFonts w:ascii="Calibri" w:hAnsi="Calibri" w:cs="Calibri"/>
          <w:b/>
          <w:bCs/>
          <w:sz w:val="22"/>
          <w:szCs w:val="22"/>
        </w:rPr>
        <w:t>atsigręžti į bazinius drabužius</w:t>
      </w:r>
      <w:r>
        <w:rPr>
          <w:rFonts w:ascii="Calibri" w:hAnsi="Calibri" w:cs="Calibri"/>
          <w:b/>
          <w:bCs/>
          <w:sz w:val="22"/>
          <w:szCs w:val="22"/>
        </w:rPr>
        <w:t xml:space="preserve"> </w:t>
      </w:r>
      <w:r w:rsidRPr="00F62B0F">
        <w:rPr>
          <w:rFonts w:ascii="Calibri" w:hAnsi="Calibri" w:cs="Calibri"/>
          <w:b/>
          <w:bCs/>
          <w:sz w:val="22"/>
          <w:szCs w:val="22"/>
        </w:rPr>
        <w:t xml:space="preserve">– universalius, lengvai tarpusavyje derinamus ir nuo trumpalaikių tendencijų mažiau priklausomus „spintos kapsulės“ pagrindus. </w:t>
      </w:r>
      <w:r w:rsidR="00E81BD4" w:rsidRPr="00E81BD4">
        <w:rPr>
          <w:rFonts w:ascii="Calibri" w:hAnsi="Calibri" w:cs="Calibri"/>
          <w:b/>
          <w:bCs/>
          <w:sz w:val="22"/>
          <w:szCs w:val="22"/>
        </w:rPr>
        <w:t>Tinkamai suformuotas garderobo pagrindas leidžia ne tik supaprastinti kasdienius derinius, bet ir ilgiau išlaikyti aktualų stilių.</w:t>
      </w:r>
    </w:p>
    <w:p w14:paraId="4911639C" w14:textId="05B8F843" w:rsidR="007A0E8D" w:rsidRDefault="007A0E8D" w:rsidP="007A0E8D">
      <w:pPr>
        <w:spacing w:after="120"/>
        <w:jc w:val="both"/>
        <w:rPr>
          <w:rFonts w:ascii="Calibri" w:hAnsi="Calibri" w:cs="Calibri"/>
          <w:sz w:val="22"/>
          <w:szCs w:val="22"/>
        </w:rPr>
      </w:pPr>
      <w:r w:rsidRPr="007A0E8D">
        <w:rPr>
          <w:rFonts w:ascii="Calibri" w:hAnsi="Calibri" w:cs="Calibri"/>
          <w:sz w:val="22"/>
          <w:szCs w:val="22"/>
        </w:rPr>
        <w:t xml:space="preserve">„Baziniai drabužiai – tai tokie rūbai, kurie lengvai dera tarpusavyje ir leidžia sukurti daug skirtingų derinių. Tiesaus kirpimo džinsai ar kelnės, vienspalviai marškinėliai, megztiniai, klasikinis švarkas – tai garderobo pagrindas, kuris </w:t>
      </w:r>
      <w:r w:rsidR="00F62B0F">
        <w:rPr>
          <w:rFonts w:ascii="Calibri" w:hAnsi="Calibri" w:cs="Calibri"/>
          <w:sz w:val="22"/>
          <w:szCs w:val="22"/>
        </w:rPr>
        <w:t xml:space="preserve">net ir </w:t>
      </w:r>
      <w:r w:rsidRPr="007A0E8D">
        <w:rPr>
          <w:rFonts w:ascii="Calibri" w:hAnsi="Calibri" w:cs="Calibri"/>
          <w:sz w:val="22"/>
          <w:szCs w:val="22"/>
        </w:rPr>
        <w:t xml:space="preserve">laikui bėgant nepraranda aktualumo“, – </w:t>
      </w:r>
      <w:r w:rsidR="003D7635">
        <w:rPr>
          <w:rFonts w:ascii="Calibri" w:hAnsi="Calibri" w:cs="Calibri"/>
          <w:sz w:val="22"/>
          <w:szCs w:val="22"/>
        </w:rPr>
        <w:t>pasakoja</w:t>
      </w:r>
      <w:r w:rsidRPr="007A0E8D">
        <w:rPr>
          <w:rFonts w:ascii="Calibri" w:hAnsi="Calibri" w:cs="Calibri"/>
          <w:sz w:val="22"/>
          <w:szCs w:val="22"/>
        </w:rPr>
        <w:t xml:space="preserve"> </w:t>
      </w:r>
      <w:r w:rsidR="000A463C">
        <w:rPr>
          <w:rFonts w:ascii="Calibri" w:hAnsi="Calibri" w:cs="Calibri"/>
          <w:sz w:val="22"/>
          <w:szCs w:val="22"/>
        </w:rPr>
        <w:t xml:space="preserve">Vilniaus, Klaipėdos ir Šiaulių „Akropoliuose“ veikiančios </w:t>
      </w:r>
      <w:r w:rsidR="00E355D3">
        <w:rPr>
          <w:rFonts w:ascii="Calibri" w:hAnsi="Calibri" w:cs="Calibri"/>
          <w:sz w:val="22"/>
          <w:szCs w:val="22"/>
        </w:rPr>
        <w:t xml:space="preserve">drabužių parduotuvės </w:t>
      </w:r>
      <w:r w:rsidRPr="007A0E8D">
        <w:rPr>
          <w:rFonts w:ascii="Calibri" w:hAnsi="Calibri" w:cs="Calibri"/>
          <w:sz w:val="22"/>
          <w:szCs w:val="22"/>
        </w:rPr>
        <w:t>„</w:t>
      </w:r>
      <w:proofErr w:type="spellStart"/>
      <w:r w:rsidRPr="007A0E8D">
        <w:rPr>
          <w:rFonts w:ascii="Calibri" w:hAnsi="Calibri" w:cs="Calibri"/>
          <w:sz w:val="22"/>
          <w:szCs w:val="22"/>
        </w:rPr>
        <w:t>Reserved</w:t>
      </w:r>
      <w:proofErr w:type="spellEnd"/>
      <w:r w:rsidRPr="007A0E8D">
        <w:rPr>
          <w:rFonts w:ascii="Calibri" w:hAnsi="Calibri" w:cs="Calibri"/>
          <w:sz w:val="22"/>
          <w:szCs w:val="22"/>
        </w:rPr>
        <w:t>“ stilistė Evelina</w:t>
      </w:r>
      <w:r>
        <w:rPr>
          <w:rFonts w:ascii="Calibri" w:hAnsi="Calibri" w:cs="Calibri"/>
          <w:sz w:val="22"/>
          <w:szCs w:val="22"/>
        </w:rPr>
        <w:t xml:space="preserve"> </w:t>
      </w:r>
      <w:proofErr w:type="spellStart"/>
      <w:r>
        <w:rPr>
          <w:rFonts w:ascii="Calibri" w:hAnsi="Calibri" w:cs="Calibri"/>
          <w:sz w:val="22"/>
          <w:szCs w:val="22"/>
        </w:rPr>
        <w:t>Kušlevič</w:t>
      </w:r>
      <w:proofErr w:type="spellEnd"/>
      <w:r w:rsidRPr="007A0E8D">
        <w:rPr>
          <w:rFonts w:ascii="Calibri" w:hAnsi="Calibri" w:cs="Calibri"/>
          <w:sz w:val="22"/>
          <w:szCs w:val="22"/>
        </w:rPr>
        <w:t>.</w:t>
      </w:r>
    </w:p>
    <w:p w14:paraId="0A97426D" w14:textId="03FA2D83" w:rsidR="00E81BD4" w:rsidRPr="00E81BD4" w:rsidRDefault="00E81BD4" w:rsidP="007A0E8D">
      <w:pPr>
        <w:spacing w:after="120"/>
        <w:jc w:val="both"/>
        <w:rPr>
          <w:rFonts w:ascii="Calibri" w:hAnsi="Calibri" w:cs="Calibri"/>
          <w:b/>
          <w:bCs/>
          <w:sz w:val="22"/>
          <w:szCs w:val="22"/>
        </w:rPr>
      </w:pPr>
      <w:r w:rsidRPr="00E81BD4">
        <w:rPr>
          <w:rFonts w:ascii="Calibri" w:hAnsi="Calibri" w:cs="Calibri"/>
          <w:b/>
          <w:bCs/>
          <w:sz w:val="22"/>
          <w:szCs w:val="22"/>
        </w:rPr>
        <w:t>Spalvos ir audiniai – ilgaamžiško garderobo pagrindas</w:t>
      </w:r>
    </w:p>
    <w:p w14:paraId="5EA5CCF6" w14:textId="6735F885" w:rsidR="00D17395" w:rsidRDefault="007A0E8D" w:rsidP="00D17395">
      <w:pPr>
        <w:spacing w:after="120"/>
        <w:jc w:val="both"/>
        <w:rPr>
          <w:rFonts w:ascii="Calibri" w:hAnsi="Calibri" w:cs="Calibri"/>
          <w:sz w:val="22"/>
          <w:szCs w:val="22"/>
        </w:rPr>
      </w:pPr>
      <w:r w:rsidRPr="007A0E8D">
        <w:rPr>
          <w:rFonts w:ascii="Calibri" w:hAnsi="Calibri" w:cs="Calibri"/>
          <w:sz w:val="22"/>
          <w:szCs w:val="22"/>
        </w:rPr>
        <w:t xml:space="preserve">Pasak </w:t>
      </w:r>
      <w:r w:rsidR="00E81BD4">
        <w:rPr>
          <w:rFonts w:ascii="Calibri" w:hAnsi="Calibri" w:cs="Calibri"/>
          <w:sz w:val="22"/>
          <w:szCs w:val="22"/>
        </w:rPr>
        <w:t>stilistės</w:t>
      </w:r>
      <w:r w:rsidRPr="007A0E8D">
        <w:rPr>
          <w:rFonts w:ascii="Calibri" w:hAnsi="Calibri" w:cs="Calibri"/>
          <w:sz w:val="22"/>
          <w:szCs w:val="22"/>
        </w:rPr>
        <w:t>, bazinių drabužių ilgaamžiškumą lemia ne tik kirpimas, bet ir spalvos. Neutralūs atspalviai – juoda, pilka, ruda ar tamsiai mėlyna – leidžia lengvai derinti drabužius tarpusavyje ir papildyti juos ryškesnėmis detalėmis</w:t>
      </w:r>
      <w:r w:rsidR="00110303">
        <w:rPr>
          <w:rFonts w:ascii="Calibri" w:hAnsi="Calibri" w:cs="Calibri"/>
          <w:sz w:val="22"/>
          <w:szCs w:val="22"/>
        </w:rPr>
        <w:t xml:space="preserve"> bei aksesuarais</w:t>
      </w:r>
      <w:r w:rsidRPr="007A0E8D">
        <w:rPr>
          <w:rFonts w:ascii="Calibri" w:hAnsi="Calibri" w:cs="Calibri"/>
          <w:sz w:val="22"/>
          <w:szCs w:val="22"/>
        </w:rPr>
        <w:t xml:space="preserve">. </w:t>
      </w:r>
    </w:p>
    <w:p w14:paraId="08FAC982" w14:textId="77777777" w:rsidR="00E81BD4" w:rsidRDefault="007A0E8D" w:rsidP="007A0E8D">
      <w:pPr>
        <w:spacing w:after="120"/>
        <w:jc w:val="both"/>
        <w:rPr>
          <w:rFonts w:ascii="Calibri" w:hAnsi="Calibri" w:cs="Calibri"/>
          <w:sz w:val="22"/>
          <w:szCs w:val="22"/>
        </w:rPr>
      </w:pPr>
      <w:r w:rsidRPr="007A0E8D">
        <w:rPr>
          <w:rFonts w:ascii="Calibri" w:hAnsi="Calibri" w:cs="Calibri"/>
          <w:sz w:val="22"/>
          <w:szCs w:val="22"/>
        </w:rPr>
        <w:t>Renkantis bazinius drabužius, E</w:t>
      </w:r>
      <w:r w:rsidR="003D7635">
        <w:rPr>
          <w:rFonts w:ascii="Calibri" w:hAnsi="Calibri" w:cs="Calibri"/>
          <w:sz w:val="22"/>
          <w:szCs w:val="22"/>
        </w:rPr>
        <w:t xml:space="preserve">. </w:t>
      </w:r>
      <w:proofErr w:type="spellStart"/>
      <w:r w:rsidR="003D7635">
        <w:rPr>
          <w:rFonts w:ascii="Calibri" w:hAnsi="Calibri" w:cs="Calibri"/>
          <w:sz w:val="22"/>
          <w:szCs w:val="22"/>
        </w:rPr>
        <w:t>Kušlevič</w:t>
      </w:r>
      <w:proofErr w:type="spellEnd"/>
      <w:r w:rsidRPr="007A0E8D">
        <w:rPr>
          <w:rFonts w:ascii="Calibri" w:hAnsi="Calibri" w:cs="Calibri"/>
          <w:sz w:val="22"/>
          <w:szCs w:val="22"/>
        </w:rPr>
        <w:t xml:space="preserve"> pataria atkreipti dėmesį ir į audinių sudėtį. Natūralios medžiagos, tokios kaip vilna, medvilnė ar linas, ne tik atrodo kokybišk</w:t>
      </w:r>
      <w:r w:rsidR="00F62B0F">
        <w:rPr>
          <w:rFonts w:ascii="Calibri" w:hAnsi="Calibri" w:cs="Calibri"/>
          <w:sz w:val="22"/>
          <w:szCs w:val="22"/>
        </w:rPr>
        <w:t>ai</w:t>
      </w:r>
      <w:r w:rsidRPr="007A0E8D">
        <w:rPr>
          <w:rFonts w:ascii="Calibri" w:hAnsi="Calibri" w:cs="Calibri"/>
          <w:sz w:val="22"/>
          <w:szCs w:val="22"/>
        </w:rPr>
        <w:t xml:space="preserve">, bet ir tarnauja ilgiau. </w:t>
      </w:r>
    </w:p>
    <w:p w14:paraId="679A2A90" w14:textId="7C955C17" w:rsidR="003D7635" w:rsidRDefault="007A0E8D" w:rsidP="007A0E8D">
      <w:pPr>
        <w:spacing w:after="120"/>
        <w:jc w:val="both"/>
        <w:rPr>
          <w:rFonts w:ascii="Calibri" w:hAnsi="Calibri" w:cs="Calibri"/>
          <w:sz w:val="22"/>
          <w:szCs w:val="22"/>
        </w:rPr>
      </w:pPr>
      <w:r w:rsidRPr="007A0E8D">
        <w:rPr>
          <w:rFonts w:ascii="Calibri" w:hAnsi="Calibri" w:cs="Calibri"/>
          <w:sz w:val="22"/>
          <w:szCs w:val="22"/>
        </w:rPr>
        <w:t>„</w:t>
      </w:r>
      <w:r w:rsidR="00E5101C">
        <w:rPr>
          <w:rFonts w:ascii="Calibri" w:hAnsi="Calibri" w:cs="Calibri"/>
          <w:sz w:val="22"/>
          <w:szCs w:val="22"/>
        </w:rPr>
        <w:t>V</w:t>
      </w:r>
      <w:r w:rsidRPr="007A0E8D">
        <w:rPr>
          <w:rFonts w:ascii="Calibri" w:hAnsi="Calibri" w:cs="Calibri"/>
          <w:sz w:val="22"/>
          <w:szCs w:val="22"/>
        </w:rPr>
        <w:t xml:space="preserve">erta </w:t>
      </w:r>
      <w:r w:rsidR="00E81BD4">
        <w:rPr>
          <w:rFonts w:ascii="Calibri" w:hAnsi="Calibri" w:cs="Calibri"/>
          <w:sz w:val="22"/>
          <w:szCs w:val="22"/>
        </w:rPr>
        <w:t>rinktis</w:t>
      </w:r>
      <w:r w:rsidR="00E5101C">
        <w:rPr>
          <w:rFonts w:ascii="Calibri" w:hAnsi="Calibri" w:cs="Calibri"/>
          <w:sz w:val="22"/>
          <w:szCs w:val="22"/>
        </w:rPr>
        <w:t xml:space="preserve"> kokybiškų audinių</w:t>
      </w:r>
      <w:r w:rsidRPr="007A0E8D">
        <w:rPr>
          <w:rFonts w:ascii="Calibri" w:hAnsi="Calibri" w:cs="Calibri"/>
          <w:sz w:val="22"/>
          <w:szCs w:val="22"/>
        </w:rPr>
        <w:t xml:space="preserve"> bazinius drabužius – jie neišeina iš mado</w:t>
      </w:r>
      <w:r w:rsidR="00F62B0F">
        <w:rPr>
          <w:rFonts w:ascii="Calibri" w:hAnsi="Calibri" w:cs="Calibri"/>
          <w:sz w:val="22"/>
          <w:szCs w:val="22"/>
        </w:rPr>
        <w:t>s</w:t>
      </w:r>
      <w:r w:rsidRPr="007A0E8D">
        <w:rPr>
          <w:rFonts w:ascii="Calibri" w:hAnsi="Calibri" w:cs="Calibri"/>
          <w:sz w:val="22"/>
          <w:szCs w:val="22"/>
        </w:rPr>
        <w:t xml:space="preserve"> ir leidžia jaustis komfortiškai kasdien“, – pažymi ji.</w:t>
      </w:r>
    </w:p>
    <w:p w14:paraId="5A36EB9C" w14:textId="214C72D4" w:rsidR="00E81BD4" w:rsidRPr="00E81BD4" w:rsidRDefault="00E81BD4" w:rsidP="007A0E8D">
      <w:pPr>
        <w:spacing w:after="120"/>
        <w:jc w:val="both"/>
        <w:rPr>
          <w:rFonts w:ascii="Calibri" w:hAnsi="Calibri" w:cs="Calibri"/>
          <w:b/>
          <w:bCs/>
          <w:sz w:val="22"/>
          <w:szCs w:val="22"/>
        </w:rPr>
      </w:pPr>
      <w:r w:rsidRPr="00E81BD4">
        <w:rPr>
          <w:rFonts w:ascii="Calibri" w:hAnsi="Calibri" w:cs="Calibri"/>
          <w:b/>
          <w:bCs/>
          <w:sz w:val="22"/>
          <w:szCs w:val="22"/>
        </w:rPr>
        <w:t>Klasikiniai batai – neatsiejama dalis</w:t>
      </w:r>
    </w:p>
    <w:p w14:paraId="26BAD3AA" w14:textId="3C1DB5B5" w:rsidR="00E81BD4" w:rsidRPr="00E81BD4" w:rsidRDefault="00E81BD4" w:rsidP="00E81BD4">
      <w:pPr>
        <w:spacing w:after="120"/>
        <w:jc w:val="both"/>
        <w:rPr>
          <w:rFonts w:ascii="Calibri" w:hAnsi="Calibri" w:cs="Calibri"/>
          <w:sz w:val="22"/>
          <w:szCs w:val="22"/>
        </w:rPr>
      </w:pPr>
      <w:r>
        <w:rPr>
          <w:rFonts w:ascii="Calibri" w:hAnsi="Calibri" w:cs="Calibri"/>
          <w:sz w:val="22"/>
          <w:szCs w:val="22"/>
        </w:rPr>
        <w:t>F</w:t>
      </w:r>
      <w:r w:rsidRPr="00E81BD4">
        <w:rPr>
          <w:rFonts w:ascii="Calibri" w:hAnsi="Calibri" w:cs="Calibri"/>
          <w:sz w:val="22"/>
          <w:szCs w:val="22"/>
        </w:rPr>
        <w:t>ormuojant bazinį garderobą nereikėtų apsiriboti vien drabužiais – itin svarbią vietą užima ir avalynė. Klasikiniai batai padeda „užbaigti“ įvaizdį ir suteikia jam vientisumo.</w:t>
      </w:r>
    </w:p>
    <w:p w14:paraId="6856DE1F" w14:textId="2BD0F9BF" w:rsidR="00E81BD4" w:rsidRDefault="00E81BD4" w:rsidP="00E81BD4">
      <w:pPr>
        <w:spacing w:after="120"/>
        <w:jc w:val="both"/>
        <w:rPr>
          <w:rFonts w:ascii="Calibri" w:hAnsi="Calibri" w:cs="Calibri"/>
          <w:sz w:val="22"/>
          <w:szCs w:val="22"/>
        </w:rPr>
      </w:pPr>
      <w:r>
        <w:rPr>
          <w:rFonts w:ascii="Calibri" w:hAnsi="Calibri" w:cs="Calibri"/>
          <w:sz w:val="22"/>
          <w:szCs w:val="22"/>
        </w:rPr>
        <w:t>B</w:t>
      </w:r>
      <w:r w:rsidRPr="00E81BD4">
        <w:rPr>
          <w:rFonts w:ascii="Calibri" w:hAnsi="Calibri" w:cs="Calibri"/>
          <w:sz w:val="22"/>
          <w:szCs w:val="22"/>
        </w:rPr>
        <w:t xml:space="preserve">aziniame garderobe verta turėti bent kelias universalias poras: patogius kasdienius batus, klasikinius aulinukus ar </w:t>
      </w:r>
      <w:r>
        <w:rPr>
          <w:rFonts w:ascii="Calibri" w:hAnsi="Calibri" w:cs="Calibri"/>
          <w:sz w:val="22"/>
          <w:szCs w:val="22"/>
        </w:rPr>
        <w:t>„</w:t>
      </w:r>
      <w:proofErr w:type="spellStart"/>
      <w:r w:rsidRPr="00E81BD4">
        <w:rPr>
          <w:rFonts w:ascii="Calibri" w:hAnsi="Calibri" w:cs="Calibri"/>
          <w:sz w:val="22"/>
          <w:szCs w:val="22"/>
        </w:rPr>
        <w:t>loafer</w:t>
      </w:r>
      <w:proofErr w:type="spellEnd"/>
      <w:r>
        <w:rPr>
          <w:rFonts w:ascii="Calibri" w:hAnsi="Calibri" w:cs="Calibri"/>
          <w:sz w:val="22"/>
          <w:szCs w:val="22"/>
        </w:rPr>
        <w:t>“</w:t>
      </w:r>
      <w:r w:rsidRPr="00E81BD4">
        <w:rPr>
          <w:rFonts w:ascii="Calibri" w:hAnsi="Calibri" w:cs="Calibri"/>
          <w:sz w:val="22"/>
          <w:szCs w:val="22"/>
        </w:rPr>
        <w:t xml:space="preserve"> tipo avalynę bei neutralių spalvų sportinius batelius. Tokia avalynė lengvai derinama prie skirtingų aprangos stilių ir tinka tiek laisvalaikiui, tiek darbui.</w:t>
      </w:r>
    </w:p>
    <w:p w14:paraId="5FA3FEA1" w14:textId="7F90C683" w:rsidR="000A463C" w:rsidRPr="00E81BD4" w:rsidRDefault="000A463C" w:rsidP="00E81BD4">
      <w:pPr>
        <w:spacing w:after="120"/>
        <w:jc w:val="both"/>
        <w:rPr>
          <w:rFonts w:ascii="Calibri" w:hAnsi="Calibri" w:cs="Calibri"/>
          <w:sz w:val="22"/>
          <w:szCs w:val="22"/>
        </w:rPr>
      </w:pPr>
      <w:r w:rsidRPr="000A463C">
        <w:rPr>
          <w:rFonts w:ascii="Calibri" w:hAnsi="Calibri" w:cs="Calibri"/>
          <w:sz w:val="22"/>
          <w:szCs w:val="22"/>
        </w:rPr>
        <w:t xml:space="preserve">Metų pradžios išpardavimai – palankus metas įsigyti kokybiškus, laiko patikrintus batų modelius, </w:t>
      </w:r>
      <w:r>
        <w:rPr>
          <w:rFonts w:ascii="Calibri" w:hAnsi="Calibri" w:cs="Calibri"/>
          <w:sz w:val="22"/>
          <w:szCs w:val="22"/>
        </w:rPr>
        <w:t xml:space="preserve">taip pat ir klasikinius aukštakulnius, </w:t>
      </w:r>
      <w:r w:rsidRPr="000A463C">
        <w:rPr>
          <w:rFonts w:ascii="Calibri" w:hAnsi="Calibri" w:cs="Calibri"/>
          <w:sz w:val="22"/>
          <w:szCs w:val="22"/>
        </w:rPr>
        <w:t>kurie bus avimi ne vieną sezoną ir nepraras aktualumo keičiantis tendencijoms.</w:t>
      </w:r>
    </w:p>
    <w:p w14:paraId="29A08F55" w14:textId="554DAA56" w:rsidR="00E81BD4" w:rsidRPr="000A463C" w:rsidRDefault="000A463C" w:rsidP="007A0E8D">
      <w:pPr>
        <w:spacing w:after="120"/>
        <w:jc w:val="both"/>
        <w:rPr>
          <w:rFonts w:ascii="Calibri" w:hAnsi="Calibri" w:cs="Calibri"/>
          <w:b/>
          <w:bCs/>
          <w:sz w:val="22"/>
          <w:szCs w:val="22"/>
        </w:rPr>
      </w:pPr>
      <w:r w:rsidRPr="000A463C">
        <w:rPr>
          <w:rFonts w:ascii="Calibri" w:hAnsi="Calibri" w:cs="Calibri"/>
          <w:b/>
          <w:bCs/>
          <w:sz w:val="22"/>
          <w:szCs w:val="22"/>
        </w:rPr>
        <w:t>Tendencijos keičiasi, tačiau geri sprendimai išlieka</w:t>
      </w:r>
    </w:p>
    <w:p w14:paraId="376D1917" w14:textId="77777777" w:rsidR="00930378" w:rsidRDefault="007A0E8D" w:rsidP="007A0E8D">
      <w:pPr>
        <w:spacing w:after="120"/>
        <w:jc w:val="both"/>
        <w:rPr>
          <w:rFonts w:ascii="Calibri" w:hAnsi="Calibri" w:cs="Calibri"/>
          <w:sz w:val="22"/>
          <w:szCs w:val="22"/>
        </w:rPr>
      </w:pPr>
      <w:r w:rsidRPr="007A0E8D">
        <w:rPr>
          <w:rFonts w:ascii="Calibri" w:hAnsi="Calibri" w:cs="Calibri"/>
          <w:sz w:val="22"/>
          <w:szCs w:val="22"/>
        </w:rPr>
        <w:t xml:space="preserve">Stilistė taip pat atkreipia dėmesį, kad mada dažnai kartojasi, todėl net ir per išpardavimus įsigyti drabužiai gali išlikti aktualūs ne vieną sezoną. </w:t>
      </w:r>
    </w:p>
    <w:p w14:paraId="67E6C69B" w14:textId="5EECF4CA" w:rsidR="007A0E8D" w:rsidRPr="007A0E8D" w:rsidRDefault="007A0E8D" w:rsidP="007A0E8D">
      <w:pPr>
        <w:spacing w:after="120"/>
        <w:jc w:val="both"/>
        <w:rPr>
          <w:rFonts w:ascii="Calibri" w:hAnsi="Calibri" w:cs="Calibri"/>
          <w:sz w:val="22"/>
          <w:szCs w:val="22"/>
        </w:rPr>
      </w:pPr>
      <w:r w:rsidRPr="007A0E8D">
        <w:rPr>
          <w:rFonts w:ascii="Calibri" w:hAnsi="Calibri" w:cs="Calibri"/>
          <w:sz w:val="22"/>
          <w:szCs w:val="22"/>
        </w:rPr>
        <w:t>„</w:t>
      </w:r>
      <w:r w:rsidR="00E67DAD" w:rsidRPr="00E67DAD">
        <w:rPr>
          <w:rFonts w:ascii="Calibri" w:hAnsi="Calibri" w:cs="Calibri"/>
          <w:sz w:val="22"/>
          <w:szCs w:val="22"/>
        </w:rPr>
        <w:t>Tokie elementai kaip taškuoti raštai ar nėriniai periodiškai sugrįžta, o derinami su baziniais drabužiais leidžia sukurti subalansuotą, ilgaamžį įvaizdį</w:t>
      </w:r>
      <w:r w:rsidRPr="007A0E8D">
        <w:rPr>
          <w:rFonts w:ascii="Calibri" w:hAnsi="Calibri" w:cs="Calibri"/>
          <w:sz w:val="22"/>
          <w:szCs w:val="22"/>
        </w:rPr>
        <w:t>“, – sako E</w:t>
      </w:r>
      <w:r w:rsidR="00EF2EEE">
        <w:rPr>
          <w:rFonts w:ascii="Calibri" w:hAnsi="Calibri" w:cs="Calibri"/>
          <w:sz w:val="22"/>
          <w:szCs w:val="22"/>
        </w:rPr>
        <w:t xml:space="preserve">. </w:t>
      </w:r>
      <w:proofErr w:type="spellStart"/>
      <w:r w:rsidR="00EF2EEE">
        <w:rPr>
          <w:rFonts w:ascii="Calibri" w:hAnsi="Calibri" w:cs="Calibri"/>
          <w:sz w:val="22"/>
          <w:szCs w:val="22"/>
        </w:rPr>
        <w:t>Kušlevič</w:t>
      </w:r>
      <w:proofErr w:type="spellEnd"/>
      <w:r w:rsidRPr="007A0E8D">
        <w:rPr>
          <w:rFonts w:ascii="Calibri" w:hAnsi="Calibri" w:cs="Calibri"/>
          <w:sz w:val="22"/>
          <w:szCs w:val="22"/>
        </w:rPr>
        <w:t>.</w:t>
      </w:r>
    </w:p>
    <w:p w14:paraId="1C003B74" w14:textId="25290E8A" w:rsidR="00EF2EEE" w:rsidRDefault="007A0E8D" w:rsidP="007A0E8D">
      <w:pPr>
        <w:spacing w:after="120"/>
        <w:jc w:val="both"/>
        <w:rPr>
          <w:rFonts w:ascii="Calibri" w:hAnsi="Calibri" w:cs="Calibri"/>
          <w:sz w:val="22"/>
          <w:szCs w:val="22"/>
        </w:rPr>
      </w:pPr>
      <w:r w:rsidRPr="007A0E8D">
        <w:rPr>
          <w:rFonts w:ascii="Calibri" w:hAnsi="Calibri" w:cs="Calibri"/>
          <w:sz w:val="22"/>
          <w:szCs w:val="22"/>
        </w:rPr>
        <w:t xml:space="preserve">Planuojantiems atnaujinti savo </w:t>
      </w:r>
      <w:r w:rsidR="00EF2EEE">
        <w:rPr>
          <w:rFonts w:ascii="Calibri" w:hAnsi="Calibri" w:cs="Calibri"/>
          <w:sz w:val="22"/>
          <w:szCs w:val="22"/>
        </w:rPr>
        <w:t>drabužinę</w:t>
      </w:r>
      <w:r w:rsidRPr="007A0E8D">
        <w:rPr>
          <w:rFonts w:ascii="Calibri" w:hAnsi="Calibri" w:cs="Calibri"/>
          <w:sz w:val="22"/>
          <w:szCs w:val="22"/>
        </w:rPr>
        <w:t xml:space="preserve">, anot stilistės, </w:t>
      </w:r>
      <w:r w:rsidR="000A463C">
        <w:rPr>
          <w:rFonts w:ascii="Calibri" w:hAnsi="Calibri" w:cs="Calibri"/>
          <w:sz w:val="22"/>
          <w:szCs w:val="22"/>
        </w:rPr>
        <w:t>dabar</w:t>
      </w:r>
      <w:r w:rsidRPr="007A0E8D">
        <w:rPr>
          <w:rFonts w:ascii="Calibri" w:hAnsi="Calibri" w:cs="Calibri"/>
          <w:sz w:val="22"/>
          <w:szCs w:val="22"/>
        </w:rPr>
        <w:t xml:space="preserve"> yra vienas geriausių laikotarpių tai padaryti. </w:t>
      </w:r>
      <w:r w:rsidR="00EF2EEE">
        <w:rPr>
          <w:rFonts w:ascii="Calibri" w:hAnsi="Calibri" w:cs="Calibri"/>
          <w:sz w:val="22"/>
          <w:szCs w:val="22"/>
        </w:rPr>
        <w:t xml:space="preserve">Šiuo metu </w:t>
      </w:r>
      <w:r w:rsidR="00F62B0F">
        <w:rPr>
          <w:rFonts w:ascii="Calibri" w:hAnsi="Calibri" w:cs="Calibri"/>
          <w:sz w:val="22"/>
          <w:szCs w:val="22"/>
        </w:rPr>
        <w:t xml:space="preserve">palankiomis sąlygomis </w:t>
      </w:r>
      <w:r w:rsidR="00EF2EEE">
        <w:rPr>
          <w:rFonts w:ascii="Calibri" w:hAnsi="Calibri" w:cs="Calibri"/>
          <w:sz w:val="22"/>
          <w:szCs w:val="22"/>
        </w:rPr>
        <w:t>galima įsigyti kokybiškų megztinių, klasikinių paltų ar kelnių bei kitų drabužių, kurie bus dėvimi ne vieną sezoną.</w:t>
      </w:r>
    </w:p>
    <w:p w14:paraId="63ED1FC5" w14:textId="60314A1C" w:rsidR="009B34D7" w:rsidRPr="009B34D7" w:rsidRDefault="009B34D7" w:rsidP="007A0E8D">
      <w:pPr>
        <w:spacing w:after="120"/>
        <w:jc w:val="both"/>
        <w:rPr>
          <w:rFonts w:ascii="Calibri" w:hAnsi="Calibri" w:cs="Calibri"/>
          <w:b/>
          <w:bCs/>
          <w:sz w:val="22"/>
          <w:szCs w:val="22"/>
        </w:rPr>
      </w:pPr>
      <w:r w:rsidRPr="009B34D7">
        <w:rPr>
          <w:rFonts w:ascii="Calibri" w:hAnsi="Calibri" w:cs="Calibri"/>
          <w:b/>
          <w:bCs/>
          <w:sz w:val="22"/>
          <w:szCs w:val="22"/>
        </w:rPr>
        <w:t xml:space="preserve">Pataria nepamiršti </w:t>
      </w:r>
      <w:r w:rsidR="000A463C">
        <w:rPr>
          <w:rFonts w:ascii="Calibri" w:hAnsi="Calibri" w:cs="Calibri"/>
          <w:b/>
          <w:bCs/>
          <w:sz w:val="22"/>
          <w:szCs w:val="22"/>
        </w:rPr>
        <w:t>detalių</w:t>
      </w:r>
    </w:p>
    <w:p w14:paraId="4BCC6824" w14:textId="46EED249" w:rsidR="009048C9" w:rsidRPr="009048C9" w:rsidRDefault="009048C9" w:rsidP="009048C9">
      <w:pPr>
        <w:spacing w:after="120"/>
        <w:jc w:val="both"/>
        <w:rPr>
          <w:rFonts w:ascii="Calibri" w:hAnsi="Calibri" w:cs="Calibri"/>
          <w:sz w:val="22"/>
          <w:szCs w:val="22"/>
        </w:rPr>
      </w:pPr>
      <w:r w:rsidRPr="009048C9">
        <w:rPr>
          <w:rFonts w:ascii="Calibri" w:hAnsi="Calibri" w:cs="Calibri"/>
          <w:sz w:val="22"/>
          <w:szCs w:val="22"/>
        </w:rPr>
        <w:t>„Matome, kad žmonės aktyviai domisi tiek naujomis kolekcijomis, tiek sezoniniais išpardavimais. Ypač d</w:t>
      </w:r>
      <w:r w:rsidR="00E67DAD">
        <w:rPr>
          <w:rFonts w:ascii="Calibri" w:hAnsi="Calibri" w:cs="Calibri"/>
          <w:sz w:val="22"/>
          <w:szCs w:val="22"/>
        </w:rPr>
        <w:t>idelio</w:t>
      </w:r>
      <w:r w:rsidRPr="009048C9">
        <w:rPr>
          <w:rFonts w:ascii="Calibri" w:hAnsi="Calibri" w:cs="Calibri"/>
          <w:sz w:val="22"/>
          <w:szCs w:val="22"/>
        </w:rPr>
        <w:t xml:space="preserve"> lankytojų </w:t>
      </w:r>
      <w:r w:rsidR="00E67DAD">
        <w:rPr>
          <w:rFonts w:ascii="Calibri" w:hAnsi="Calibri" w:cs="Calibri"/>
          <w:sz w:val="22"/>
          <w:szCs w:val="22"/>
        </w:rPr>
        <w:t xml:space="preserve">susidomėjimo </w:t>
      </w:r>
      <w:r w:rsidRPr="009048C9">
        <w:rPr>
          <w:rFonts w:ascii="Calibri" w:hAnsi="Calibri" w:cs="Calibri"/>
          <w:sz w:val="22"/>
          <w:szCs w:val="22"/>
        </w:rPr>
        <w:t xml:space="preserve">sulaukia </w:t>
      </w:r>
      <w:r w:rsidR="00E67DAD">
        <w:rPr>
          <w:rFonts w:ascii="Calibri" w:hAnsi="Calibri" w:cs="Calibri"/>
          <w:sz w:val="22"/>
          <w:szCs w:val="22"/>
        </w:rPr>
        <w:t xml:space="preserve">ir </w:t>
      </w:r>
      <w:r w:rsidRPr="009048C9">
        <w:rPr>
          <w:rFonts w:ascii="Calibri" w:hAnsi="Calibri" w:cs="Calibri"/>
          <w:sz w:val="22"/>
          <w:szCs w:val="22"/>
        </w:rPr>
        <w:t xml:space="preserve">naujos </w:t>
      </w:r>
      <w:r w:rsidR="00E67DAD">
        <w:rPr>
          <w:rFonts w:ascii="Calibri" w:hAnsi="Calibri" w:cs="Calibri"/>
          <w:sz w:val="22"/>
          <w:szCs w:val="22"/>
        </w:rPr>
        <w:t>bei</w:t>
      </w:r>
      <w:r w:rsidRPr="009048C9">
        <w:rPr>
          <w:rFonts w:ascii="Calibri" w:hAnsi="Calibri" w:cs="Calibri"/>
          <w:sz w:val="22"/>
          <w:szCs w:val="22"/>
        </w:rPr>
        <w:t xml:space="preserve"> atsinaujinusios parduotuvės – tai rodo, </w:t>
      </w:r>
      <w:r w:rsidR="00E67DAD" w:rsidRPr="00E67DAD">
        <w:rPr>
          <w:rFonts w:ascii="Calibri" w:hAnsi="Calibri" w:cs="Calibri"/>
          <w:sz w:val="22"/>
          <w:szCs w:val="22"/>
        </w:rPr>
        <w:t>tai rodo, kad pirkėjams svarbi įvairovė ir galimybė rinktis pagal skirtingus stilius bei poreikius</w:t>
      </w:r>
      <w:r w:rsidR="000F7FF9">
        <w:rPr>
          <w:rFonts w:ascii="Calibri" w:hAnsi="Calibri" w:cs="Calibri"/>
          <w:sz w:val="22"/>
          <w:szCs w:val="22"/>
        </w:rPr>
        <w:t xml:space="preserve">. Vien praėjusiais metais Vilniaus, Klaipėdos ir Šiaulių „Akropoliuose“ duris atvėrė </w:t>
      </w:r>
      <w:r w:rsidR="003D674F">
        <w:rPr>
          <w:rFonts w:ascii="Calibri" w:hAnsi="Calibri" w:cs="Calibri"/>
          <w:sz w:val="22"/>
          <w:szCs w:val="22"/>
        </w:rPr>
        <w:t>kelios dešimtys</w:t>
      </w:r>
      <w:r w:rsidR="000F7FF9">
        <w:rPr>
          <w:rFonts w:ascii="Calibri" w:hAnsi="Calibri" w:cs="Calibri"/>
          <w:sz w:val="22"/>
          <w:szCs w:val="22"/>
        </w:rPr>
        <w:t xml:space="preserve"> naujų ir atnaujintų aprangos bei avalynės parduotuvių</w:t>
      </w:r>
      <w:r w:rsidR="00977FAB" w:rsidRPr="002D5466">
        <w:rPr>
          <w:rFonts w:ascii="Calibri" w:hAnsi="Calibri" w:cs="Calibri"/>
          <w:sz w:val="22"/>
          <w:szCs w:val="22"/>
        </w:rPr>
        <w:t>“, – sako Paulius Pocius, „Akropolis Group“ rinkodaros ir komunikacijos vadovas.</w:t>
      </w:r>
    </w:p>
    <w:p w14:paraId="7F6BF54F" w14:textId="3C2EE63E" w:rsidR="009C4AEF" w:rsidRPr="007A0E8D" w:rsidRDefault="009048C9" w:rsidP="007A0E8D">
      <w:pPr>
        <w:spacing w:after="120"/>
        <w:jc w:val="both"/>
        <w:rPr>
          <w:rFonts w:ascii="Calibri" w:hAnsi="Calibri" w:cs="Calibri"/>
          <w:sz w:val="22"/>
          <w:szCs w:val="22"/>
        </w:rPr>
      </w:pPr>
      <w:r w:rsidRPr="009048C9">
        <w:rPr>
          <w:rFonts w:ascii="Calibri" w:hAnsi="Calibri" w:cs="Calibri"/>
          <w:sz w:val="22"/>
          <w:szCs w:val="22"/>
        </w:rPr>
        <w:lastRenderedPageBreak/>
        <w:t>Jo teigimu, platus parduotuvių ir prekių ženklų pasirinkimas leidžia atliepti labai skirtingus lankytojų poreikius</w:t>
      </w:r>
      <w:r w:rsidR="00EC5667">
        <w:rPr>
          <w:rFonts w:ascii="Calibri" w:hAnsi="Calibri" w:cs="Calibri"/>
          <w:sz w:val="22"/>
          <w:szCs w:val="22"/>
        </w:rPr>
        <w:t xml:space="preserve"> </w:t>
      </w:r>
      <w:r w:rsidR="008E5B6C">
        <w:rPr>
          <w:rFonts w:ascii="Calibri" w:hAnsi="Calibri" w:cs="Calibri"/>
          <w:sz w:val="22"/>
          <w:szCs w:val="22"/>
        </w:rPr>
        <w:t>–</w:t>
      </w:r>
      <w:r w:rsidR="00EC5667">
        <w:rPr>
          <w:rFonts w:ascii="Calibri" w:hAnsi="Calibri" w:cs="Calibri"/>
          <w:sz w:val="22"/>
          <w:szCs w:val="22"/>
        </w:rPr>
        <w:t xml:space="preserve"> tiek</w:t>
      </w:r>
      <w:r w:rsidR="008E5B6C">
        <w:rPr>
          <w:rFonts w:ascii="Calibri" w:hAnsi="Calibri" w:cs="Calibri"/>
          <w:sz w:val="22"/>
          <w:szCs w:val="22"/>
        </w:rPr>
        <w:t xml:space="preserve"> pagal stilių, tiek pagal piniginę. Iki sausio pabaigos „Akropoliuose“ Vilniuje, Klaipėdoje ir Šiauli</w:t>
      </w:r>
      <w:r w:rsidR="00347D33">
        <w:rPr>
          <w:rFonts w:ascii="Calibri" w:hAnsi="Calibri" w:cs="Calibri"/>
          <w:sz w:val="22"/>
          <w:szCs w:val="22"/>
        </w:rPr>
        <w:t>u</w:t>
      </w:r>
      <w:r w:rsidR="008E5B6C">
        <w:rPr>
          <w:rFonts w:ascii="Calibri" w:hAnsi="Calibri" w:cs="Calibri"/>
          <w:sz w:val="22"/>
          <w:szCs w:val="22"/>
        </w:rPr>
        <w:t>ose vykstantys išpardavimai</w:t>
      </w:r>
      <w:r w:rsidR="00F62B0F">
        <w:rPr>
          <w:rFonts w:ascii="Calibri" w:hAnsi="Calibri" w:cs="Calibri"/>
          <w:sz w:val="22"/>
          <w:szCs w:val="22"/>
        </w:rPr>
        <w:t xml:space="preserve"> „</w:t>
      </w:r>
      <w:proofErr w:type="spellStart"/>
      <w:r w:rsidR="00F62B0F">
        <w:rPr>
          <w:rFonts w:ascii="Calibri" w:hAnsi="Calibri" w:cs="Calibri"/>
          <w:sz w:val="22"/>
          <w:szCs w:val="22"/>
        </w:rPr>
        <w:t>KrokoDylas</w:t>
      </w:r>
      <w:proofErr w:type="spellEnd"/>
      <w:r w:rsidR="00F62B0F">
        <w:rPr>
          <w:rFonts w:ascii="Calibri" w:hAnsi="Calibri" w:cs="Calibri"/>
          <w:sz w:val="22"/>
          <w:szCs w:val="22"/>
        </w:rPr>
        <w:t>“</w:t>
      </w:r>
      <w:r w:rsidR="00347D33">
        <w:rPr>
          <w:rFonts w:ascii="Calibri" w:hAnsi="Calibri" w:cs="Calibri"/>
          <w:sz w:val="22"/>
          <w:szCs w:val="22"/>
        </w:rPr>
        <w:t>, kurių metu taikomos</w:t>
      </w:r>
      <w:r w:rsidR="008E5B6C">
        <w:rPr>
          <w:rFonts w:ascii="Calibri" w:hAnsi="Calibri" w:cs="Calibri"/>
          <w:sz w:val="22"/>
          <w:szCs w:val="22"/>
        </w:rPr>
        <w:t xml:space="preserve"> net iki 50 proc.</w:t>
      </w:r>
      <w:r w:rsidR="00347D33">
        <w:rPr>
          <w:rFonts w:ascii="Calibri" w:hAnsi="Calibri" w:cs="Calibri"/>
          <w:sz w:val="22"/>
          <w:szCs w:val="22"/>
        </w:rPr>
        <w:t xml:space="preserve"> nuolaidos, leidžia atnaujinti drabužinę dar palankesnėmis sąlygomis.</w:t>
      </w:r>
    </w:p>
    <w:p w14:paraId="3225686A" w14:textId="77777777" w:rsidR="00402C95" w:rsidRDefault="00CD7E19" w:rsidP="007A0E8D">
      <w:pPr>
        <w:spacing w:after="120"/>
        <w:jc w:val="both"/>
        <w:rPr>
          <w:rFonts w:ascii="Calibri" w:hAnsi="Calibri" w:cs="Calibri"/>
          <w:sz w:val="22"/>
          <w:szCs w:val="22"/>
        </w:rPr>
      </w:pPr>
      <w:r>
        <w:rPr>
          <w:rFonts w:ascii="Calibri" w:hAnsi="Calibri" w:cs="Calibri"/>
          <w:sz w:val="22"/>
          <w:szCs w:val="22"/>
        </w:rPr>
        <w:t>Savo ruožtu s</w:t>
      </w:r>
      <w:r w:rsidR="007A0E8D" w:rsidRPr="007A0E8D">
        <w:rPr>
          <w:rFonts w:ascii="Calibri" w:hAnsi="Calibri" w:cs="Calibri"/>
          <w:sz w:val="22"/>
          <w:szCs w:val="22"/>
        </w:rPr>
        <w:t>tilistė E</w:t>
      </w:r>
      <w:r>
        <w:rPr>
          <w:rFonts w:ascii="Calibri" w:hAnsi="Calibri" w:cs="Calibri"/>
          <w:sz w:val="22"/>
          <w:szCs w:val="22"/>
        </w:rPr>
        <w:t xml:space="preserve">. </w:t>
      </w:r>
      <w:proofErr w:type="spellStart"/>
      <w:r>
        <w:rPr>
          <w:rFonts w:ascii="Calibri" w:hAnsi="Calibri" w:cs="Calibri"/>
          <w:sz w:val="22"/>
          <w:szCs w:val="22"/>
        </w:rPr>
        <w:t>Kušlevič</w:t>
      </w:r>
      <w:proofErr w:type="spellEnd"/>
      <w:r w:rsidR="007A0E8D" w:rsidRPr="007A0E8D">
        <w:rPr>
          <w:rFonts w:ascii="Calibri" w:hAnsi="Calibri" w:cs="Calibri"/>
          <w:sz w:val="22"/>
          <w:szCs w:val="22"/>
        </w:rPr>
        <w:t xml:space="preserve"> atkreipia dėmesį, kad per išpardavimus verta pasirūpinti ne tik pagrindiniais drabužiais, bet ir detalėmis, kurios dažnai lieka antrame plane.</w:t>
      </w:r>
    </w:p>
    <w:p w14:paraId="589931E5" w14:textId="708F9FEB" w:rsidR="00310676" w:rsidRPr="007A0E8D" w:rsidRDefault="00310676" w:rsidP="007A0E8D">
      <w:pPr>
        <w:spacing w:after="120"/>
        <w:jc w:val="both"/>
        <w:rPr>
          <w:rFonts w:ascii="Calibri" w:hAnsi="Calibri" w:cs="Calibri"/>
          <w:sz w:val="22"/>
          <w:szCs w:val="22"/>
        </w:rPr>
      </w:pPr>
      <w:r w:rsidRPr="00310676">
        <w:rPr>
          <w:rFonts w:ascii="Calibri" w:hAnsi="Calibri" w:cs="Calibri"/>
          <w:sz w:val="22"/>
          <w:szCs w:val="22"/>
        </w:rPr>
        <w:t>„Labai dažnai žmonės koncentruojasi tik į paltus, švarkus ar kelnes, tačiau pamiršta aksesuarus, paprastus marškinėlius, kojines ar kitus kasdienius drabužius. Būtent šios smulkios detalės padeda užbaigti įvaizdį ir leidžia net paprastam deriniui atrodyti tvarkingai bei apgalvotai</w:t>
      </w:r>
      <w:r>
        <w:rPr>
          <w:rFonts w:ascii="Calibri" w:hAnsi="Calibri" w:cs="Calibri"/>
          <w:sz w:val="22"/>
          <w:szCs w:val="22"/>
        </w:rPr>
        <w:t xml:space="preserve">. </w:t>
      </w:r>
      <w:r w:rsidR="00176FAC">
        <w:rPr>
          <w:rFonts w:ascii="Calibri" w:hAnsi="Calibri" w:cs="Calibri"/>
          <w:sz w:val="22"/>
          <w:szCs w:val="22"/>
        </w:rPr>
        <w:t>K</w:t>
      </w:r>
      <w:r w:rsidRPr="00310676">
        <w:rPr>
          <w:rFonts w:ascii="Calibri" w:hAnsi="Calibri" w:cs="Calibri"/>
          <w:sz w:val="22"/>
          <w:szCs w:val="22"/>
        </w:rPr>
        <w:t xml:space="preserve">artais pakanka kokybiško diržo, tinkamų kojinių ar gerai priglundančių marškinėlių, kad </w:t>
      </w:r>
      <w:r w:rsidR="00F62B0F">
        <w:rPr>
          <w:rFonts w:ascii="Calibri" w:hAnsi="Calibri" w:cs="Calibri"/>
          <w:sz w:val="22"/>
          <w:szCs w:val="22"/>
        </w:rPr>
        <w:t>bendras</w:t>
      </w:r>
      <w:r w:rsidRPr="00310676">
        <w:rPr>
          <w:rFonts w:ascii="Calibri" w:hAnsi="Calibri" w:cs="Calibri"/>
          <w:sz w:val="22"/>
          <w:szCs w:val="22"/>
        </w:rPr>
        <w:t xml:space="preserve"> vaizdas pasikeistų“, – sako „</w:t>
      </w:r>
      <w:proofErr w:type="spellStart"/>
      <w:r w:rsidRPr="00310676">
        <w:rPr>
          <w:rFonts w:ascii="Calibri" w:hAnsi="Calibri" w:cs="Calibri"/>
          <w:sz w:val="22"/>
          <w:szCs w:val="22"/>
        </w:rPr>
        <w:t>Reserved</w:t>
      </w:r>
      <w:proofErr w:type="spellEnd"/>
      <w:r w:rsidRPr="00310676">
        <w:rPr>
          <w:rFonts w:ascii="Calibri" w:hAnsi="Calibri" w:cs="Calibri"/>
          <w:sz w:val="22"/>
          <w:szCs w:val="22"/>
        </w:rPr>
        <w:t>“ stilistė E</w:t>
      </w:r>
      <w:r w:rsidR="00176FAC">
        <w:rPr>
          <w:rFonts w:ascii="Calibri" w:hAnsi="Calibri" w:cs="Calibri"/>
          <w:sz w:val="22"/>
          <w:szCs w:val="22"/>
        </w:rPr>
        <w:t xml:space="preserve">. </w:t>
      </w:r>
      <w:proofErr w:type="spellStart"/>
      <w:r w:rsidR="00176FAC">
        <w:rPr>
          <w:rFonts w:ascii="Calibri" w:hAnsi="Calibri" w:cs="Calibri"/>
          <w:sz w:val="22"/>
          <w:szCs w:val="22"/>
        </w:rPr>
        <w:t>Kušlevič</w:t>
      </w:r>
      <w:proofErr w:type="spellEnd"/>
      <w:r w:rsidRPr="00310676">
        <w:rPr>
          <w:rFonts w:ascii="Calibri" w:hAnsi="Calibri" w:cs="Calibri"/>
          <w:sz w:val="22"/>
          <w:szCs w:val="22"/>
        </w:rPr>
        <w:t>.</w:t>
      </w:r>
    </w:p>
    <w:p w14:paraId="15F8A7D3" w14:textId="2C50E7D8" w:rsidR="00356F73" w:rsidRPr="004C0267" w:rsidRDefault="00356F73" w:rsidP="00356F73">
      <w:pPr>
        <w:spacing w:after="120"/>
        <w:jc w:val="both"/>
        <w:rPr>
          <w:rFonts w:ascii="Calibri" w:hAnsi="Calibri" w:cs="Calibri"/>
          <w:sz w:val="22"/>
          <w:szCs w:val="22"/>
        </w:rPr>
      </w:pPr>
    </w:p>
    <w:p w14:paraId="59403242" w14:textId="77777777" w:rsidR="00000E76" w:rsidRDefault="00000E76"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w:t>
      </w:r>
      <w:proofErr w:type="spellStart"/>
      <w:r w:rsidRPr="007B2FBA">
        <w:rPr>
          <w:rFonts w:asciiTheme="majorHAnsi" w:hAnsiTheme="majorHAnsi" w:cstheme="majorHAnsi"/>
          <w:i/>
          <w:iCs/>
          <w:sz w:val="22"/>
          <w:szCs w:val="22"/>
        </w:rPr>
        <w:t>Akropole</w:t>
      </w:r>
      <w:proofErr w:type="spellEnd"/>
      <w:r w:rsidRPr="007B2FBA">
        <w:rPr>
          <w:rFonts w:asciiTheme="majorHAnsi" w:hAnsiTheme="majorHAnsi" w:cstheme="majorHAnsi"/>
          <w:i/>
          <w:iCs/>
          <w:sz w:val="22"/>
          <w:szCs w:val="22"/>
        </w:rPr>
        <w:t xml:space="preserve"> </w:t>
      </w:r>
      <w:proofErr w:type="spellStart"/>
      <w:r w:rsidRPr="007B2FBA">
        <w:rPr>
          <w:rFonts w:asciiTheme="majorHAnsi" w:hAnsiTheme="majorHAnsi" w:cstheme="majorHAnsi"/>
          <w:i/>
          <w:iCs/>
          <w:sz w:val="22"/>
          <w:szCs w:val="22"/>
        </w:rPr>
        <w:t>Riga</w:t>
      </w:r>
      <w:proofErr w:type="spellEnd"/>
      <w:r w:rsidRPr="007B2FBA">
        <w:rPr>
          <w:rFonts w:asciiTheme="majorHAnsi" w:hAnsiTheme="majorHAnsi" w:cstheme="majorHAnsi"/>
          <w:i/>
          <w:iCs/>
          <w:sz w:val="22"/>
          <w:szCs w:val="22"/>
        </w:rPr>
        <w:t>“ ir „</w:t>
      </w:r>
      <w:proofErr w:type="spellStart"/>
      <w:r w:rsidRPr="007B2FBA">
        <w:rPr>
          <w:rFonts w:asciiTheme="majorHAnsi" w:hAnsiTheme="majorHAnsi" w:cstheme="majorHAnsi"/>
          <w:i/>
          <w:iCs/>
          <w:sz w:val="22"/>
          <w:szCs w:val="22"/>
        </w:rPr>
        <w:t>Akropole</w:t>
      </w:r>
      <w:proofErr w:type="spellEnd"/>
      <w:r w:rsidRPr="007B2FBA">
        <w:rPr>
          <w:rFonts w:asciiTheme="majorHAnsi" w:hAnsiTheme="majorHAnsi" w:cstheme="majorHAnsi"/>
          <w:i/>
          <w:iCs/>
          <w:sz w:val="22"/>
          <w:szCs w:val="22"/>
        </w:rPr>
        <w:t xml:space="preserv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A146" w14:textId="77777777" w:rsidR="00032782" w:rsidRDefault="00032782" w:rsidP="00A56C3E">
      <w:r>
        <w:separator/>
      </w:r>
    </w:p>
  </w:endnote>
  <w:endnote w:type="continuationSeparator" w:id="0">
    <w:p w14:paraId="3C520658" w14:textId="77777777" w:rsidR="00032782" w:rsidRDefault="00032782"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BB93" w14:textId="77777777" w:rsidR="00032782" w:rsidRDefault="00032782" w:rsidP="00A56C3E">
      <w:r>
        <w:separator/>
      </w:r>
    </w:p>
  </w:footnote>
  <w:footnote w:type="continuationSeparator" w:id="0">
    <w:p w14:paraId="49BAE95A" w14:textId="77777777" w:rsidR="00032782" w:rsidRDefault="00032782"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38AEF042" w:rsidR="00AF14A7" w:rsidRDefault="00CF6DB4">
    <w:pPr>
      <w:pStyle w:val="Header"/>
    </w:pPr>
    <w:r>
      <w:tab/>
    </w:r>
    <w:r>
      <w:tab/>
      <w:t>202</w:t>
    </w:r>
    <w:r w:rsidR="004560E0">
      <w:t>6</w:t>
    </w:r>
    <w:r>
      <w:t xml:space="preserve"> m. </w:t>
    </w:r>
    <w:r w:rsidR="004560E0">
      <w:t>sausio</w:t>
    </w:r>
    <w:r w:rsidR="000A6CC4">
      <w:t xml:space="preserve"> </w:t>
    </w:r>
    <w:r w:rsidR="00965983">
      <w:t>26</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17CFD"/>
    <w:rsid w:val="000205A9"/>
    <w:rsid w:val="00020F8E"/>
    <w:rsid w:val="0002307A"/>
    <w:rsid w:val="00025594"/>
    <w:rsid w:val="00026B01"/>
    <w:rsid w:val="00030331"/>
    <w:rsid w:val="0003172D"/>
    <w:rsid w:val="00032782"/>
    <w:rsid w:val="00033AAB"/>
    <w:rsid w:val="000404B3"/>
    <w:rsid w:val="000443C4"/>
    <w:rsid w:val="00044555"/>
    <w:rsid w:val="000464A4"/>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463C"/>
    <w:rsid w:val="000A6CC4"/>
    <w:rsid w:val="000B0097"/>
    <w:rsid w:val="000B309A"/>
    <w:rsid w:val="000B3BB1"/>
    <w:rsid w:val="000B501C"/>
    <w:rsid w:val="000B627B"/>
    <w:rsid w:val="000C0DA6"/>
    <w:rsid w:val="000C3C8F"/>
    <w:rsid w:val="000C5E06"/>
    <w:rsid w:val="000C6DE8"/>
    <w:rsid w:val="000D0692"/>
    <w:rsid w:val="000D07F8"/>
    <w:rsid w:val="000D38E8"/>
    <w:rsid w:val="000D581E"/>
    <w:rsid w:val="000D5BA7"/>
    <w:rsid w:val="000E1200"/>
    <w:rsid w:val="000E1E2C"/>
    <w:rsid w:val="000E53F6"/>
    <w:rsid w:val="000E5D41"/>
    <w:rsid w:val="000E5D7E"/>
    <w:rsid w:val="000F237F"/>
    <w:rsid w:val="000F3CD5"/>
    <w:rsid w:val="000F7FF9"/>
    <w:rsid w:val="00101283"/>
    <w:rsid w:val="00105A36"/>
    <w:rsid w:val="00105CB9"/>
    <w:rsid w:val="001067BC"/>
    <w:rsid w:val="00106F43"/>
    <w:rsid w:val="00107245"/>
    <w:rsid w:val="00110303"/>
    <w:rsid w:val="00110AB5"/>
    <w:rsid w:val="00113BB6"/>
    <w:rsid w:val="0011475C"/>
    <w:rsid w:val="00115EF0"/>
    <w:rsid w:val="00123A61"/>
    <w:rsid w:val="0012625B"/>
    <w:rsid w:val="00126ED9"/>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76FAC"/>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D2784"/>
    <w:rsid w:val="001E364A"/>
    <w:rsid w:val="001E365A"/>
    <w:rsid w:val="001E41BA"/>
    <w:rsid w:val="001F08B6"/>
    <w:rsid w:val="001F313B"/>
    <w:rsid w:val="001F6678"/>
    <w:rsid w:val="00200487"/>
    <w:rsid w:val="00203CFE"/>
    <w:rsid w:val="00205393"/>
    <w:rsid w:val="0020560E"/>
    <w:rsid w:val="00211227"/>
    <w:rsid w:val="002143F8"/>
    <w:rsid w:val="0021565D"/>
    <w:rsid w:val="0022046E"/>
    <w:rsid w:val="0022115E"/>
    <w:rsid w:val="002226DA"/>
    <w:rsid w:val="00223DD5"/>
    <w:rsid w:val="002244F8"/>
    <w:rsid w:val="00225BB8"/>
    <w:rsid w:val="00225F58"/>
    <w:rsid w:val="00227084"/>
    <w:rsid w:val="0024119F"/>
    <w:rsid w:val="00241693"/>
    <w:rsid w:val="00242700"/>
    <w:rsid w:val="002432DB"/>
    <w:rsid w:val="00245841"/>
    <w:rsid w:val="00247486"/>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6583"/>
    <w:rsid w:val="002877D1"/>
    <w:rsid w:val="00287E51"/>
    <w:rsid w:val="00290DA4"/>
    <w:rsid w:val="0029162D"/>
    <w:rsid w:val="002A0718"/>
    <w:rsid w:val="002A1650"/>
    <w:rsid w:val="002A36BB"/>
    <w:rsid w:val="002A59FB"/>
    <w:rsid w:val="002A720C"/>
    <w:rsid w:val="002B219E"/>
    <w:rsid w:val="002B2E8A"/>
    <w:rsid w:val="002C2C85"/>
    <w:rsid w:val="002C5437"/>
    <w:rsid w:val="002C5689"/>
    <w:rsid w:val="002C5749"/>
    <w:rsid w:val="002C71C8"/>
    <w:rsid w:val="002C7C1F"/>
    <w:rsid w:val="002D0F53"/>
    <w:rsid w:val="002D147E"/>
    <w:rsid w:val="002D5466"/>
    <w:rsid w:val="002E1CE1"/>
    <w:rsid w:val="002E494C"/>
    <w:rsid w:val="002F4BC2"/>
    <w:rsid w:val="002F565C"/>
    <w:rsid w:val="002F6C41"/>
    <w:rsid w:val="00300008"/>
    <w:rsid w:val="00303C87"/>
    <w:rsid w:val="003042AC"/>
    <w:rsid w:val="00310676"/>
    <w:rsid w:val="003212D0"/>
    <w:rsid w:val="00322487"/>
    <w:rsid w:val="0032611E"/>
    <w:rsid w:val="00326B0C"/>
    <w:rsid w:val="00332F68"/>
    <w:rsid w:val="0033312D"/>
    <w:rsid w:val="003342F3"/>
    <w:rsid w:val="00334820"/>
    <w:rsid w:val="00334DC0"/>
    <w:rsid w:val="00335ED8"/>
    <w:rsid w:val="0033610C"/>
    <w:rsid w:val="00336C4A"/>
    <w:rsid w:val="0034321E"/>
    <w:rsid w:val="00345634"/>
    <w:rsid w:val="0034602E"/>
    <w:rsid w:val="00347BCC"/>
    <w:rsid w:val="00347D33"/>
    <w:rsid w:val="00350AE5"/>
    <w:rsid w:val="00350CAA"/>
    <w:rsid w:val="003522A3"/>
    <w:rsid w:val="00353612"/>
    <w:rsid w:val="00353BD5"/>
    <w:rsid w:val="003553AB"/>
    <w:rsid w:val="00356F73"/>
    <w:rsid w:val="003603DE"/>
    <w:rsid w:val="003656D7"/>
    <w:rsid w:val="00365761"/>
    <w:rsid w:val="00365AF7"/>
    <w:rsid w:val="0036672F"/>
    <w:rsid w:val="00367AB3"/>
    <w:rsid w:val="00371124"/>
    <w:rsid w:val="00374A7F"/>
    <w:rsid w:val="00377352"/>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D674F"/>
    <w:rsid w:val="003D7635"/>
    <w:rsid w:val="003E0566"/>
    <w:rsid w:val="003E06C7"/>
    <w:rsid w:val="003E0956"/>
    <w:rsid w:val="003E65A0"/>
    <w:rsid w:val="003E75AC"/>
    <w:rsid w:val="003F5E6F"/>
    <w:rsid w:val="004010E9"/>
    <w:rsid w:val="00402C95"/>
    <w:rsid w:val="00403BF4"/>
    <w:rsid w:val="0040497F"/>
    <w:rsid w:val="004063DB"/>
    <w:rsid w:val="00407141"/>
    <w:rsid w:val="0040717C"/>
    <w:rsid w:val="00407759"/>
    <w:rsid w:val="004077D7"/>
    <w:rsid w:val="004078DA"/>
    <w:rsid w:val="004150CD"/>
    <w:rsid w:val="00415B1E"/>
    <w:rsid w:val="00415EC4"/>
    <w:rsid w:val="00430359"/>
    <w:rsid w:val="004317D7"/>
    <w:rsid w:val="0043641F"/>
    <w:rsid w:val="004404A8"/>
    <w:rsid w:val="00444E53"/>
    <w:rsid w:val="00447927"/>
    <w:rsid w:val="004522CA"/>
    <w:rsid w:val="00453608"/>
    <w:rsid w:val="004545F7"/>
    <w:rsid w:val="00454D2D"/>
    <w:rsid w:val="004560E0"/>
    <w:rsid w:val="00456853"/>
    <w:rsid w:val="00456F2D"/>
    <w:rsid w:val="00457322"/>
    <w:rsid w:val="00457FD4"/>
    <w:rsid w:val="0046147E"/>
    <w:rsid w:val="00461585"/>
    <w:rsid w:val="0046338E"/>
    <w:rsid w:val="00466099"/>
    <w:rsid w:val="00471EFA"/>
    <w:rsid w:val="004739CB"/>
    <w:rsid w:val="00475F70"/>
    <w:rsid w:val="00480442"/>
    <w:rsid w:val="004812F0"/>
    <w:rsid w:val="00482E79"/>
    <w:rsid w:val="0048470B"/>
    <w:rsid w:val="004852F0"/>
    <w:rsid w:val="0049367F"/>
    <w:rsid w:val="00495676"/>
    <w:rsid w:val="00495BE2"/>
    <w:rsid w:val="00496E7E"/>
    <w:rsid w:val="004A1090"/>
    <w:rsid w:val="004A2529"/>
    <w:rsid w:val="004A59E9"/>
    <w:rsid w:val="004B21E9"/>
    <w:rsid w:val="004B3168"/>
    <w:rsid w:val="004B330B"/>
    <w:rsid w:val="004B4A5A"/>
    <w:rsid w:val="004B4B09"/>
    <w:rsid w:val="004B4B84"/>
    <w:rsid w:val="004C0267"/>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22FF1"/>
    <w:rsid w:val="00523057"/>
    <w:rsid w:val="00525032"/>
    <w:rsid w:val="00526B66"/>
    <w:rsid w:val="0053220F"/>
    <w:rsid w:val="005348FA"/>
    <w:rsid w:val="00534DBA"/>
    <w:rsid w:val="0053728E"/>
    <w:rsid w:val="00537A59"/>
    <w:rsid w:val="0054170C"/>
    <w:rsid w:val="00545BA8"/>
    <w:rsid w:val="005577CE"/>
    <w:rsid w:val="005604F9"/>
    <w:rsid w:val="00561F0A"/>
    <w:rsid w:val="005633A5"/>
    <w:rsid w:val="005644A7"/>
    <w:rsid w:val="00570A1D"/>
    <w:rsid w:val="00570BCF"/>
    <w:rsid w:val="00570C68"/>
    <w:rsid w:val="00576157"/>
    <w:rsid w:val="005776EC"/>
    <w:rsid w:val="005828F9"/>
    <w:rsid w:val="00584BB9"/>
    <w:rsid w:val="0059399C"/>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6942"/>
    <w:rsid w:val="005D7659"/>
    <w:rsid w:val="005E00F8"/>
    <w:rsid w:val="005E0FFD"/>
    <w:rsid w:val="005E418E"/>
    <w:rsid w:val="005F19E9"/>
    <w:rsid w:val="005F2977"/>
    <w:rsid w:val="005F6E61"/>
    <w:rsid w:val="0060155F"/>
    <w:rsid w:val="00601975"/>
    <w:rsid w:val="00603AB5"/>
    <w:rsid w:val="00603D7E"/>
    <w:rsid w:val="006042B6"/>
    <w:rsid w:val="006068FC"/>
    <w:rsid w:val="00607C4B"/>
    <w:rsid w:val="00607DDB"/>
    <w:rsid w:val="00611640"/>
    <w:rsid w:val="00612DD9"/>
    <w:rsid w:val="006146A0"/>
    <w:rsid w:val="00623440"/>
    <w:rsid w:val="0063452E"/>
    <w:rsid w:val="00637543"/>
    <w:rsid w:val="006379C4"/>
    <w:rsid w:val="006419C8"/>
    <w:rsid w:val="00641BDA"/>
    <w:rsid w:val="006454C2"/>
    <w:rsid w:val="006456A9"/>
    <w:rsid w:val="00646BB6"/>
    <w:rsid w:val="00651EDF"/>
    <w:rsid w:val="0065215A"/>
    <w:rsid w:val="0065239D"/>
    <w:rsid w:val="00655B0B"/>
    <w:rsid w:val="006601F8"/>
    <w:rsid w:val="00660925"/>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4663"/>
    <w:rsid w:val="00695AC8"/>
    <w:rsid w:val="0069602A"/>
    <w:rsid w:val="006A5121"/>
    <w:rsid w:val="006A6593"/>
    <w:rsid w:val="006A6A42"/>
    <w:rsid w:val="006B0BAD"/>
    <w:rsid w:val="006C0B81"/>
    <w:rsid w:val="006C1109"/>
    <w:rsid w:val="006C4355"/>
    <w:rsid w:val="006C5805"/>
    <w:rsid w:val="006C7F6A"/>
    <w:rsid w:val="006E3FD8"/>
    <w:rsid w:val="006E7207"/>
    <w:rsid w:val="006E73CB"/>
    <w:rsid w:val="006E7652"/>
    <w:rsid w:val="006E79D4"/>
    <w:rsid w:val="007002B5"/>
    <w:rsid w:val="0070565B"/>
    <w:rsid w:val="00710700"/>
    <w:rsid w:val="00715DE8"/>
    <w:rsid w:val="00717DE0"/>
    <w:rsid w:val="0072354E"/>
    <w:rsid w:val="00725124"/>
    <w:rsid w:val="00725354"/>
    <w:rsid w:val="00725520"/>
    <w:rsid w:val="007255BD"/>
    <w:rsid w:val="0072641A"/>
    <w:rsid w:val="00735776"/>
    <w:rsid w:val="007370D5"/>
    <w:rsid w:val="00737F97"/>
    <w:rsid w:val="00740C08"/>
    <w:rsid w:val="007418CE"/>
    <w:rsid w:val="007423F1"/>
    <w:rsid w:val="007427CC"/>
    <w:rsid w:val="00744B98"/>
    <w:rsid w:val="00746CE0"/>
    <w:rsid w:val="00747F66"/>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4A99"/>
    <w:rsid w:val="00795C39"/>
    <w:rsid w:val="00797507"/>
    <w:rsid w:val="007A0E8D"/>
    <w:rsid w:val="007A2918"/>
    <w:rsid w:val="007A3762"/>
    <w:rsid w:val="007A45D7"/>
    <w:rsid w:val="007A46A9"/>
    <w:rsid w:val="007A56DB"/>
    <w:rsid w:val="007A756A"/>
    <w:rsid w:val="007B2FBA"/>
    <w:rsid w:val="007B57F1"/>
    <w:rsid w:val="007C0B3B"/>
    <w:rsid w:val="007C2F2A"/>
    <w:rsid w:val="007C3EE5"/>
    <w:rsid w:val="007C5050"/>
    <w:rsid w:val="007D0382"/>
    <w:rsid w:val="007D1BD1"/>
    <w:rsid w:val="007D2488"/>
    <w:rsid w:val="007D47B6"/>
    <w:rsid w:val="007E04C3"/>
    <w:rsid w:val="007E21F9"/>
    <w:rsid w:val="007E4D3E"/>
    <w:rsid w:val="007E5847"/>
    <w:rsid w:val="007E5C74"/>
    <w:rsid w:val="007E6F2F"/>
    <w:rsid w:val="007F059A"/>
    <w:rsid w:val="007F1263"/>
    <w:rsid w:val="007F1714"/>
    <w:rsid w:val="007F243B"/>
    <w:rsid w:val="0080066D"/>
    <w:rsid w:val="00802BEE"/>
    <w:rsid w:val="00811C49"/>
    <w:rsid w:val="00811D2D"/>
    <w:rsid w:val="00811F02"/>
    <w:rsid w:val="00812C9B"/>
    <w:rsid w:val="0081791B"/>
    <w:rsid w:val="00817C32"/>
    <w:rsid w:val="00820373"/>
    <w:rsid w:val="0082148A"/>
    <w:rsid w:val="008257CA"/>
    <w:rsid w:val="00826914"/>
    <w:rsid w:val="00826B27"/>
    <w:rsid w:val="008279A8"/>
    <w:rsid w:val="00831CB8"/>
    <w:rsid w:val="00835633"/>
    <w:rsid w:val="008425B6"/>
    <w:rsid w:val="008458C4"/>
    <w:rsid w:val="00853195"/>
    <w:rsid w:val="008532A9"/>
    <w:rsid w:val="0085396E"/>
    <w:rsid w:val="00857181"/>
    <w:rsid w:val="00860095"/>
    <w:rsid w:val="00861BD9"/>
    <w:rsid w:val="00875509"/>
    <w:rsid w:val="00875B7D"/>
    <w:rsid w:val="008A1AAC"/>
    <w:rsid w:val="008A4C3E"/>
    <w:rsid w:val="008A6235"/>
    <w:rsid w:val="008B2922"/>
    <w:rsid w:val="008B4223"/>
    <w:rsid w:val="008B46FA"/>
    <w:rsid w:val="008B7046"/>
    <w:rsid w:val="008C1C79"/>
    <w:rsid w:val="008C3562"/>
    <w:rsid w:val="008C6883"/>
    <w:rsid w:val="008C6AC9"/>
    <w:rsid w:val="008D18EB"/>
    <w:rsid w:val="008D2158"/>
    <w:rsid w:val="008D2717"/>
    <w:rsid w:val="008D45A4"/>
    <w:rsid w:val="008D7335"/>
    <w:rsid w:val="008D79CB"/>
    <w:rsid w:val="008E18B2"/>
    <w:rsid w:val="008E3FF2"/>
    <w:rsid w:val="008E4602"/>
    <w:rsid w:val="008E5914"/>
    <w:rsid w:val="008E5B6C"/>
    <w:rsid w:val="008E5F74"/>
    <w:rsid w:val="008E74B0"/>
    <w:rsid w:val="008F0735"/>
    <w:rsid w:val="008F24C4"/>
    <w:rsid w:val="008F5EC7"/>
    <w:rsid w:val="008F753A"/>
    <w:rsid w:val="008F7FA7"/>
    <w:rsid w:val="00901572"/>
    <w:rsid w:val="009048C9"/>
    <w:rsid w:val="00907CC7"/>
    <w:rsid w:val="00910003"/>
    <w:rsid w:val="0091137A"/>
    <w:rsid w:val="009127D6"/>
    <w:rsid w:val="0091409D"/>
    <w:rsid w:val="009147A3"/>
    <w:rsid w:val="00914B11"/>
    <w:rsid w:val="009173EC"/>
    <w:rsid w:val="00921014"/>
    <w:rsid w:val="00924AA6"/>
    <w:rsid w:val="00925B68"/>
    <w:rsid w:val="00930378"/>
    <w:rsid w:val="00931E77"/>
    <w:rsid w:val="00936778"/>
    <w:rsid w:val="00940DA5"/>
    <w:rsid w:val="00942143"/>
    <w:rsid w:val="00945438"/>
    <w:rsid w:val="00945D36"/>
    <w:rsid w:val="00947B3F"/>
    <w:rsid w:val="00947EF0"/>
    <w:rsid w:val="00954C62"/>
    <w:rsid w:val="009550B7"/>
    <w:rsid w:val="00957222"/>
    <w:rsid w:val="00957B8A"/>
    <w:rsid w:val="00962522"/>
    <w:rsid w:val="009643AA"/>
    <w:rsid w:val="00965983"/>
    <w:rsid w:val="009667BE"/>
    <w:rsid w:val="009669A9"/>
    <w:rsid w:val="00966A06"/>
    <w:rsid w:val="009676A8"/>
    <w:rsid w:val="00967C5D"/>
    <w:rsid w:val="009731A2"/>
    <w:rsid w:val="00973F86"/>
    <w:rsid w:val="009771B2"/>
    <w:rsid w:val="009773B4"/>
    <w:rsid w:val="00977FAB"/>
    <w:rsid w:val="009805BF"/>
    <w:rsid w:val="0098345A"/>
    <w:rsid w:val="00990EE1"/>
    <w:rsid w:val="009930ED"/>
    <w:rsid w:val="00993F4A"/>
    <w:rsid w:val="009943D4"/>
    <w:rsid w:val="0099739E"/>
    <w:rsid w:val="009A4DDD"/>
    <w:rsid w:val="009A5004"/>
    <w:rsid w:val="009B298F"/>
    <w:rsid w:val="009B34D7"/>
    <w:rsid w:val="009B35F3"/>
    <w:rsid w:val="009B426A"/>
    <w:rsid w:val="009B5037"/>
    <w:rsid w:val="009B7ADD"/>
    <w:rsid w:val="009C2BB3"/>
    <w:rsid w:val="009C4AEF"/>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FE6"/>
    <w:rsid w:val="00A03BF9"/>
    <w:rsid w:val="00A06BF9"/>
    <w:rsid w:val="00A1059A"/>
    <w:rsid w:val="00A20356"/>
    <w:rsid w:val="00A20F86"/>
    <w:rsid w:val="00A2543F"/>
    <w:rsid w:val="00A27E47"/>
    <w:rsid w:val="00A31482"/>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70A2"/>
    <w:rsid w:val="00B2085B"/>
    <w:rsid w:val="00B20B8D"/>
    <w:rsid w:val="00B35B9F"/>
    <w:rsid w:val="00B35BA6"/>
    <w:rsid w:val="00B35BE1"/>
    <w:rsid w:val="00B37390"/>
    <w:rsid w:val="00B37AF0"/>
    <w:rsid w:val="00B40E91"/>
    <w:rsid w:val="00B4156D"/>
    <w:rsid w:val="00B4765C"/>
    <w:rsid w:val="00B518DF"/>
    <w:rsid w:val="00B52A0B"/>
    <w:rsid w:val="00B54A35"/>
    <w:rsid w:val="00B55EC1"/>
    <w:rsid w:val="00B60272"/>
    <w:rsid w:val="00B64139"/>
    <w:rsid w:val="00B6558E"/>
    <w:rsid w:val="00B66B4E"/>
    <w:rsid w:val="00B70CB2"/>
    <w:rsid w:val="00B71473"/>
    <w:rsid w:val="00B7177F"/>
    <w:rsid w:val="00B72F0D"/>
    <w:rsid w:val="00B73CD6"/>
    <w:rsid w:val="00B742C9"/>
    <w:rsid w:val="00B7754C"/>
    <w:rsid w:val="00B802ED"/>
    <w:rsid w:val="00B81006"/>
    <w:rsid w:val="00B8481A"/>
    <w:rsid w:val="00B8664A"/>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B7A16"/>
    <w:rsid w:val="00BC06D4"/>
    <w:rsid w:val="00BC2ED0"/>
    <w:rsid w:val="00BC59A6"/>
    <w:rsid w:val="00BC640E"/>
    <w:rsid w:val="00BC7AAD"/>
    <w:rsid w:val="00BD3548"/>
    <w:rsid w:val="00BE0306"/>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988"/>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73C2"/>
    <w:rsid w:val="00CD7534"/>
    <w:rsid w:val="00CD7E19"/>
    <w:rsid w:val="00CE2BC9"/>
    <w:rsid w:val="00CE30F9"/>
    <w:rsid w:val="00CE5973"/>
    <w:rsid w:val="00CF163A"/>
    <w:rsid w:val="00CF3B9B"/>
    <w:rsid w:val="00CF6DB4"/>
    <w:rsid w:val="00D032A6"/>
    <w:rsid w:val="00D03459"/>
    <w:rsid w:val="00D042AF"/>
    <w:rsid w:val="00D1021B"/>
    <w:rsid w:val="00D11328"/>
    <w:rsid w:val="00D1190A"/>
    <w:rsid w:val="00D133BA"/>
    <w:rsid w:val="00D13437"/>
    <w:rsid w:val="00D1393B"/>
    <w:rsid w:val="00D17395"/>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90793"/>
    <w:rsid w:val="00D90F1D"/>
    <w:rsid w:val="00D9124B"/>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DD5"/>
    <w:rsid w:val="00DE4E90"/>
    <w:rsid w:val="00DF22A5"/>
    <w:rsid w:val="00DF3287"/>
    <w:rsid w:val="00DF3B60"/>
    <w:rsid w:val="00DF5145"/>
    <w:rsid w:val="00E00447"/>
    <w:rsid w:val="00E011A1"/>
    <w:rsid w:val="00E0233E"/>
    <w:rsid w:val="00E03594"/>
    <w:rsid w:val="00E10827"/>
    <w:rsid w:val="00E132C8"/>
    <w:rsid w:val="00E13D06"/>
    <w:rsid w:val="00E217E4"/>
    <w:rsid w:val="00E25709"/>
    <w:rsid w:val="00E2646E"/>
    <w:rsid w:val="00E264DD"/>
    <w:rsid w:val="00E326B2"/>
    <w:rsid w:val="00E355D3"/>
    <w:rsid w:val="00E37670"/>
    <w:rsid w:val="00E37A44"/>
    <w:rsid w:val="00E5101C"/>
    <w:rsid w:val="00E5171D"/>
    <w:rsid w:val="00E5426D"/>
    <w:rsid w:val="00E55435"/>
    <w:rsid w:val="00E565F6"/>
    <w:rsid w:val="00E57074"/>
    <w:rsid w:val="00E57489"/>
    <w:rsid w:val="00E57DCA"/>
    <w:rsid w:val="00E639D1"/>
    <w:rsid w:val="00E658C5"/>
    <w:rsid w:val="00E67DAD"/>
    <w:rsid w:val="00E70419"/>
    <w:rsid w:val="00E71083"/>
    <w:rsid w:val="00E71749"/>
    <w:rsid w:val="00E81BD4"/>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C5667"/>
    <w:rsid w:val="00ED03B7"/>
    <w:rsid w:val="00ED0B0E"/>
    <w:rsid w:val="00ED3064"/>
    <w:rsid w:val="00ED3242"/>
    <w:rsid w:val="00ED68A0"/>
    <w:rsid w:val="00ED6C9A"/>
    <w:rsid w:val="00EE18EB"/>
    <w:rsid w:val="00EE2128"/>
    <w:rsid w:val="00EE502E"/>
    <w:rsid w:val="00EF2EEE"/>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246D"/>
    <w:rsid w:val="00F26643"/>
    <w:rsid w:val="00F32B60"/>
    <w:rsid w:val="00F3443C"/>
    <w:rsid w:val="00F40B4F"/>
    <w:rsid w:val="00F4367B"/>
    <w:rsid w:val="00F4442A"/>
    <w:rsid w:val="00F47674"/>
    <w:rsid w:val="00F51EC7"/>
    <w:rsid w:val="00F52EAF"/>
    <w:rsid w:val="00F53DC0"/>
    <w:rsid w:val="00F5470E"/>
    <w:rsid w:val="00F55BA7"/>
    <w:rsid w:val="00F606AC"/>
    <w:rsid w:val="00F62B0F"/>
    <w:rsid w:val="00F67704"/>
    <w:rsid w:val="00F720A4"/>
    <w:rsid w:val="00F7756D"/>
    <w:rsid w:val="00F83395"/>
    <w:rsid w:val="00F84857"/>
    <w:rsid w:val="00F9076D"/>
    <w:rsid w:val="00F90889"/>
    <w:rsid w:val="00F92D88"/>
    <w:rsid w:val="00F97D83"/>
    <w:rsid w:val="00FA19E9"/>
    <w:rsid w:val="00FA3033"/>
    <w:rsid w:val="00FA6DB4"/>
    <w:rsid w:val="00FB0B57"/>
    <w:rsid w:val="00FB1188"/>
    <w:rsid w:val="00FB35CD"/>
    <w:rsid w:val="00FB4057"/>
    <w:rsid w:val="00FC7716"/>
    <w:rsid w:val="00FC7C82"/>
    <w:rsid w:val="00FD24C1"/>
    <w:rsid w:val="00FD27BB"/>
    <w:rsid w:val="00FD599D"/>
    <w:rsid w:val="00FD68C8"/>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3.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274FE-E8F9-41FE-8244-C398A621B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755</Words>
  <Characters>4309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Marius Deksnys</cp:lastModifiedBy>
  <cp:revision>2</cp:revision>
  <cp:lastPrinted>2021-10-13T13:46:00Z</cp:lastPrinted>
  <dcterms:created xsi:type="dcterms:W3CDTF">2026-01-25T21:15:00Z</dcterms:created>
  <dcterms:modified xsi:type="dcterms:W3CDTF">2026-01-25T21:15:00Z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