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D57" w14:textId="40593A76" w:rsidR="006D5005" w:rsidRPr="005B55BB" w:rsidRDefault="006D5005" w:rsidP="00F1786F">
      <w:pPr>
        <w:pStyle w:val="NormalWeb"/>
        <w:jc w:val="both"/>
        <w:rPr>
          <w:rStyle w:val="Strong"/>
          <w:rFonts w:ascii="Arial" w:eastAsiaTheme="majorEastAsia" w:hAnsi="Arial" w:cs="Arial"/>
          <w:color w:val="003D5E"/>
          <w:sz w:val="22"/>
          <w:szCs w:val="22"/>
          <w:lang w:val="lt-LT"/>
        </w:rPr>
      </w:pPr>
      <w:r w:rsidRPr="005B55BB">
        <w:rPr>
          <w:rStyle w:val="Strong"/>
          <w:rFonts w:ascii="Arial" w:eastAsiaTheme="majorEastAsia" w:hAnsi="Arial" w:cs="Arial"/>
          <w:color w:val="003D5E"/>
          <w:sz w:val="22"/>
          <w:szCs w:val="22"/>
          <w:lang w:val="lt-LT"/>
        </w:rPr>
        <w:t>Komentaras žiniasklaidai</w:t>
      </w:r>
    </w:p>
    <w:p w14:paraId="493E98A4" w14:textId="62299281" w:rsidR="006D5005" w:rsidRPr="005B55BB" w:rsidRDefault="006D5005" w:rsidP="00F1786F">
      <w:pPr>
        <w:pStyle w:val="NormalWeb"/>
        <w:jc w:val="both"/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</w:pPr>
      <w:r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 xml:space="preserve">2025 gruodžio </w:t>
      </w:r>
      <w:r w:rsidR="005B55BB"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>17</w:t>
      </w:r>
      <w:r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 xml:space="preserve"> d. </w:t>
      </w:r>
    </w:p>
    <w:p w14:paraId="52FA3D36" w14:textId="4837F350" w:rsidR="008622D2" w:rsidRPr="005B55BB" w:rsidRDefault="008622D2" w:rsidP="00F1786F">
      <w:pPr>
        <w:pStyle w:val="NormalWeb"/>
        <w:jc w:val="both"/>
        <w:rPr>
          <w:rStyle w:val="Strong"/>
          <w:rFonts w:ascii="Arial" w:eastAsiaTheme="majorEastAsia" w:hAnsi="Arial" w:cs="Arial"/>
          <w:color w:val="003D5E"/>
          <w:sz w:val="22"/>
          <w:szCs w:val="22"/>
          <w:lang w:val="lt-LT"/>
        </w:rPr>
      </w:pPr>
      <w:r w:rsidRPr="005B55BB">
        <w:rPr>
          <w:rStyle w:val="Strong"/>
          <w:rFonts w:ascii="Arial" w:eastAsiaTheme="majorEastAsia" w:hAnsi="Arial" w:cs="Arial"/>
          <w:color w:val="003D5E"/>
          <w:sz w:val="22"/>
          <w:szCs w:val="22"/>
          <w:lang w:val="lt-LT"/>
        </w:rPr>
        <w:t>J. Kalendienė: 2026 m. ekonomikos kryptis – kurios sritys augs sparčiausiai?</w:t>
      </w:r>
    </w:p>
    <w:p w14:paraId="2A6C76A0" w14:textId="654DA0ED" w:rsidR="006D5005" w:rsidRPr="005B55BB" w:rsidRDefault="006D5005" w:rsidP="00F1786F">
      <w:pPr>
        <w:pStyle w:val="NormalWeb"/>
        <w:jc w:val="both"/>
        <w:rPr>
          <w:rFonts w:ascii="Arial" w:hAnsi="Arial" w:cs="Arial"/>
          <w:i/>
          <w:iCs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i/>
          <w:iCs/>
          <w:color w:val="003D5E"/>
          <w:sz w:val="22"/>
          <w:szCs w:val="22"/>
          <w:lang w:val="lt-LT"/>
        </w:rPr>
        <w:t>Jonė Kalendienė, ILTE ekonomistė</w:t>
      </w:r>
    </w:p>
    <w:p w14:paraId="650B343B" w14:textId="241361BA" w:rsidR="008622D2" w:rsidRPr="005B55BB" w:rsidRDefault="008622D2" w:rsidP="00F1786F">
      <w:pPr>
        <w:pStyle w:val="NormalWeb"/>
        <w:jc w:val="both"/>
        <w:rPr>
          <w:rFonts w:ascii="Arial" w:hAnsi="Arial" w:cs="Arial"/>
          <w:b/>
          <w:bCs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2026-ieji pasauli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o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ekonomikai 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atneša 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išskirtin</w:t>
      </w:r>
      <w:r w:rsidR="00E24E09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ę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nežinomyb</w:t>
      </w:r>
      <w:r w:rsidR="00E24E09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ę.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</w:t>
      </w:r>
      <w:r w:rsidR="008B1943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E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konomikos netikrumas šiuo metu yra kelis kartus didesnis nei pandemijos laikotarpiu. Tai 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lem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ia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atsargesnį įmonių, investuotojų ir vartotojų elgesį bei kuria aplinką, kurioje prognozuoti tampa gerokai sunkiau. Vis dėlto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, 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nepaisant pasaulinių rizikų, </w:t>
      </w:r>
      <w:r w:rsidR="00172A76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kel</w:t>
      </w:r>
      <w:r w:rsidR="009B6F6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iems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sektor</w:t>
      </w:r>
      <w:r w:rsidR="009B6F6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iams</w:t>
      </w:r>
      <w:r w:rsidR="006D5005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</w:t>
      </w:r>
      <w:r w:rsidR="00044742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Lietuvoje </w:t>
      </w:r>
      <w:r w:rsidR="00172A76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prognozuojami palankūs metai.</w:t>
      </w:r>
    </w:p>
    <w:p w14:paraId="081F0760" w14:textId="1AD23C1F" w:rsidR="008622D2" w:rsidRPr="005B55BB" w:rsidRDefault="00B95308" w:rsidP="00F1786F">
      <w:pPr>
        <w:pStyle w:val="NormalWeb"/>
        <w:jc w:val="both"/>
        <w:rPr>
          <w:rFonts w:ascii="Arial" w:hAnsi="Arial" w:cs="Arial"/>
          <w:b/>
          <w:bCs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D</w:t>
      </w:r>
      <w:r w:rsidR="008B1943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aug netikrumo, mažai optimizmo</w:t>
      </w:r>
    </w:p>
    <w:p w14:paraId="7B0BE6B4" w14:textId="77EB88D0" w:rsidR="003477D2" w:rsidRPr="005B55BB" w:rsidRDefault="003477D2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Pasaulio mastu ekonominės prognozės 2026 m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>.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009B6F65" w:rsidRPr="005B55BB">
        <w:rPr>
          <w:rFonts w:ascii="Arial" w:hAnsi="Arial" w:cs="Arial"/>
          <w:color w:val="003D5E"/>
          <w:sz w:val="22"/>
          <w:szCs w:val="22"/>
          <w:lang w:val="lt-LT"/>
        </w:rPr>
        <w:t>išlieka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gana kuklios. Netikrumas, susijęs su geopolitika, prekybos politika ir didžiosiomis ekonomikomis, stabdo daugelį sprendimų – tiek investuotojų</w:t>
      </w:r>
      <w:r w:rsidR="00172A76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ir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vartotojų, tiek įmonių.</w:t>
      </w:r>
      <w:r w:rsidR="009B6F6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JAV šiuo metu atrodo gyvybingiau</w:t>
      </w:r>
      <w:r w:rsidR="008601CC" w:rsidRPr="005B55BB">
        <w:rPr>
          <w:rFonts w:ascii="Arial" w:hAnsi="Arial" w:cs="Arial"/>
          <w:color w:val="003D5E"/>
          <w:sz w:val="22"/>
          <w:szCs w:val="22"/>
          <w:lang w:val="lt-LT"/>
        </w:rPr>
        <w:t>siai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:</w:t>
      </w:r>
      <w:r w:rsidR="008601CC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išsiskiria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stipresnis vartojimas</w:t>
      </w:r>
      <w:r w:rsidR="009B6F6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ir lūkesčiai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dėl dirbtinio intelekto proveržio. Tačiau kartu išlieka </w:t>
      </w:r>
      <w:r w:rsidR="00A02252" w:rsidRPr="005B55BB">
        <w:rPr>
          <w:rFonts w:ascii="Arial" w:hAnsi="Arial" w:cs="Arial"/>
          <w:color w:val="003D5E"/>
          <w:sz w:val="22"/>
          <w:szCs w:val="22"/>
          <w:lang w:val="lt-LT"/>
        </w:rPr>
        <w:t>reikšminga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rizika</w:t>
      </w:r>
      <w:r w:rsidR="00A0225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dėl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prekybos politik</w:t>
      </w:r>
      <w:r w:rsidR="00A02252" w:rsidRPr="005B55BB">
        <w:rPr>
          <w:rFonts w:ascii="Arial" w:hAnsi="Arial" w:cs="Arial"/>
          <w:color w:val="003D5E"/>
          <w:sz w:val="22"/>
          <w:szCs w:val="22"/>
          <w:lang w:val="lt-LT"/>
        </w:rPr>
        <w:t>os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00A02252" w:rsidRPr="005B55BB">
        <w:rPr>
          <w:rFonts w:ascii="Arial" w:hAnsi="Arial" w:cs="Arial"/>
          <w:color w:val="003D5E"/>
          <w:sz w:val="22"/>
          <w:szCs w:val="22"/>
          <w:lang w:val="lt-LT"/>
        </w:rPr>
        <w:t>pokyčių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, kurie gali būti staigūs ir sunkiai prognozuojami.</w:t>
      </w:r>
    </w:p>
    <w:p w14:paraId="65717339" w14:textId="59F2A004" w:rsidR="003477D2" w:rsidRPr="005B55BB" w:rsidRDefault="003477D2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Europa ir Azija į 2026-uosius žengia su lėto augimo perspektyva. Kinija susiduria su vidinėmis problemomis, kurias kiekvienais metais bandoma spręsti naujais planais, tačiau jų poveikis dažnai būna trumpalaikis.</w:t>
      </w:r>
      <w:r w:rsidR="00A0225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Papildomą netikrumą kuria ir nauji prekybos tarifai – tai 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gana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naujas reiškinys, kurio 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>viso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poveikio 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pasaulis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dar n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>ejaučia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. Šalys, tiesiogiai prekiaujančios su JAV, jau vienaip ar kitaip prisitaiko, tačiau tokios šalys kaip Lietuva, 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su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JAV </w:t>
      </w:r>
      <w:r w:rsidR="00CA796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susijusios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netiesiogiai, </w:t>
      </w:r>
      <w:r w:rsidR="00CA796B" w:rsidRPr="005B55BB">
        <w:rPr>
          <w:rFonts w:ascii="Arial" w:hAnsi="Arial" w:cs="Arial"/>
          <w:color w:val="003D5E"/>
          <w:sz w:val="22"/>
          <w:szCs w:val="22"/>
        </w:rPr>
        <w:t xml:space="preserve">2026 m.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gali j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>a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usti antrines 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>tarifų pasekmes.</w:t>
      </w:r>
    </w:p>
    <w:p w14:paraId="61A22820" w14:textId="41AAFBAA" w:rsidR="00E32682" w:rsidRPr="005B55BB" w:rsidRDefault="001554AE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Lietuva </w:t>
      </w:r>
      <w:r w:rsidR="00B15566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taip pat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yra vadinamoje „pafrontės“ zonoje – šalia karo ir nestabilumo. Karas Ukrainoje, įtampos su Baltarusija, įvairūs incidentai, 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tokie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kaip </w:t>
      </w:r>
      <w:r w:rsidR="004814B7" w:rsidRPr="005B55BB">
        <w:rPr>
          <w:rFonts w:ascii="Arial" w:hAnsi="Arial" w:cs="Arial"/>
          <w:color w:val="003D5E"/>
          <w:sz w:val="22"/>
          <w:szCs w:val="22"/>
          <w:lang w:val="lt-LT"/>
        </w:rPr>
        <w:t>kontrabandiniai oro balionai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ar 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laikini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sienų uždarym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>ai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, kelia papildomų rizikų mūsų verslams.</w:t>
      </w:r>
      <w:r w:rsidR="00B15566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Šios rizikos nėra naujos, tačiau įmonės prie jų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kartais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pripranta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, todėl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staigesni</w:t>
      </w:r>
      <w:r w:rsidR="002B51B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pokyčiai</w:t>
      </w:r>
      <w:r w:rsidR="007861F3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– pavyzdžiui, visiškas sienos su Baltarusija uždarymas – </w:t>
      </w:r>
      <w:r w:rsidR="007861F3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gali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užklum</w:t>
      </w:r>
      <w:r w:rsidR="007861F3" w:rsidRPr="005B55BB">
        <w:rPr>
          <w:rFonts w:ascii="Arial" w:hAnsi="Arial" w:cs="Arial"/>
          <w:color w:val="003D5E"/>
          <w:sz w:val="22"/>
          <w:szCs w:val="22"/>
          <w:lang w:val="lt-LT"/>
        </w:rPr>
        <w:t>pti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nepasiruošus.</w:t>
      </w:r>
    </w:p>
    <w:p w14:paraId="03E182E1" w14:textId="51C661B2" w:rsidR="006B2112" w:rsidRPr="005B55BB" w:rsidRDefault="006B2112" w:rsidP="00F1786F">
      <w:pPr>
        <w:pStyle w:val="NormalWeb"/>
        <w:jc w:val="both"/>
        <w:rPr>
          <w:rFonts w:ascii="Arial" w:hAnsi="Arial" w:cs="Arial"/>
          <w:b/>
          <w:bCs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Palankūs metai prognozuojami trims sektoriams</w:t>
      </w:r>
    </w:p>
    <w:p w14:paraId="6881CD30" w14:textId="2FF9FA03" w:rsidR="00B30288" w:rsidRPr="005B55BB" w:rsidRDefault="00AB3AC5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Tikėtina, kad sparčiausiai 2026 m. augs trys </w:t>
      </w:r>
      <w:r w:rsidR="00A76D01" w:rsidRPr="005B55BB">
        <w:rPr>
          <w:rFonts w:ascii="Arial" w:hAnsi="Arial" w:cs="Arial"/>
          <w:color w:val="003D5E"/>
          <w:sz w:val="22"/>
          <w:szCs w:val="22"/>
          <w:lang w:val="lt-LT"/>
        </w:rPr>
        <w:t>kryptys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. Pirmiausia – mažmeninė </w:t>
      </w:r>
      <w:r w:rsidR="00171B3C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ir didmeninė prekyba.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Prekybininkai turėtų sulaukti gerų metų, nes dalis gyventojų pensijų lėšų bus išleidžiama vartojimui</w:t>
      </w:r>
      <w:r w:rsidR="00B30288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, </w:t>
      </w:r>
      <w:r w:rsidR="007861F3" w:rsidRPr="005B55BB">
        <w:rPr>
          <w:rFonts w:ascii="Arial" w:hAnsi="Arial" w:cs="Arial"/>
          <w:color w:val="003D5E"/>
          <w:sz w:val="22"/>
          <w:szCs w:val="22"/>
          <w:lang w:val="lt-LT"/>
        </w:rPr>
        <w:t>tad</w:t>
      </w:r>
      <w:r w:rsidR="00171B3C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b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endra vidaus paklausa išliks stipri.</w:t>
      </w:r>
      <w:r w:rsidR="00171B3C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</w:p>
    <w:p w14:paraId="2CCD0BA2" w14:textId="0CD0C685" w:rsidR="00AB3AC5" w:rsidRPr="005B55BB" w:rsidRDefault="00171B3C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Gerai sektis turėtų ir paslaugų sektoriui. 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>Kelionių organizatoriai, turizmo, pramogų, maitinimo, įvairių gyventojams skirtų paslaugų įmonės turės progą pasinaudoti padid</w:t>
      </w:r>
      <w:r w:rsidR="00002579" w:rsidRPr="005B55BB">
        <w:rPr>
          <w:rFonts w:ascii="Arial" w:hAnsi="Arial" w:cs="Arial"/>
          <w:color w:val="003D5E"/>
          <w:sz w:val="22"/>
          <w:szCs w:val="22"/>
          <w:lang w:val="lt-LT"/>
        </w:rPr>
        <w:t>ėjusiomis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lietuvių išlaidomis. Ypač vasarą žmonės, atsiėmę pensijų lėšas, </w:t>
      </w:r>
      <w:r w:rsidR="00002579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tikėtina, jas 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leis </w:t>
      </w:r>
      <w:r w:rsidR="00002579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aktyviau 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>nei įprastai.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</w:p>
    <w:p w14:paraId="51440B4F" w14:textId="63A1A9C6" w:rsidR="00AB3AC5" w:rsidRPr="005B55BB" w:rsidRDefault="0025272D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Palankūs</w:t>
      </w:r>
      <w:r w:rsidR="00C2382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metai prognozuojami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ir </w:t>
      </w:r>
      <w:r w:rsidR="00C2382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aukštųjų technologijų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bei</w:t>
      </w:r>
      <w:r w:rsidR="00C2382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gynybos pramonės šako</w:t>
      </w:r>
      <w:r w:rsidR="00F24473" w:rsidRPr="005B55BB">
        <w:rPr>
          <w:rFonts w:ascii="Arial" w:hAnsi="Arial" w:cs="Arial"/>
          <w:color w:val="003D5E"/>
          <w:sz w:val="22"/>
          <w:szCs w:val="22"/>
          <w:lang w:val="lt-LT"/>
        </w:rPr>
        <w:t>m</w:t>
      </w:r>
      <w:r w:rsidR="00C2382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s. 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Elektronikos, optikos ir kitos aukštųjų technologijų pramonės sritys, susijusios ar galinčios būti susijusios su gynybos pramone, jau dabar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pasižymi geresne perspektyva ir 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nesusiduria su 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lastRenderedPageBreak/>
        <w:t>ryškesniu sulėtėjimu.</w:t>
      </w:r>
      <w:r w:rsidR="008F2783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>D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idėjantis gynybos poreikis skatina tam tikrų technologijų paklausą ir atveria 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gamintojams naujų </w:t>
      </w:r>
      <w:r w:rsidR="00AB3AC5" w:rsidRPr="005B55BB">
        <w:rPr>
          <w:rFonts w:ascii="Arial" w:hAnsi="Arial" w:cs="Arial"/>
          <w:color w:val="003D5E"/>
          <w:sz w:val="22"/>
          <w:szCs w:val="22"/>
          <w:lang w:val="lt-LT"/>
        </w:rPr>
        <w:t>nišų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>.</w:t>
      </w:r>
    </w:p>
    <w:p w14:paraId="396877D8" w14:textId="78E5654F" w:rsidR="006B2112" w:rsidRPr="005B55BB" w:rsidRDefault="00965D12" w:rsidP="00F1786F">
      <w:pPr>
        <w:pStyle w:val="NormalWeb"/>
        <w:jc w:val="both"/>
        <w:rPr>
          <w:rFonts w:ascii="Arial" w:hAnsi="Arial" w:cs="Arial"/>
          <w:b/>
          <w:bCs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Daugiau iššūki</w:t>
      </w:r>
      <w:r w:rsidR="0017623D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ų –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pramon</w:t>
      </w:r>
      <w:r w:rsidR="00F24473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ei ir </w:t>
      </w: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transport</w:t>
      </w:r>
      <w:r w:rsidR="00F24473"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ui</w:t>
      </w:r>
    </w:p>
    <w:p w14:paraId="439F90AD" w14:textId="5078B735" w:rsidR="0017623D" w:rsidRPr="005B55BB" w:rsidRDefault="00965D12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Tuo tarpu daliai tradicinių sektorių 2026</w:t>
      </w:r>
      <w:r w:rsidR="00F24473" w:rsidRPr="005B55BB">
        <w:rPr>
          <w:rFonts w:ascii="Arial" w:hAnsi="Arial" w:cs="Arial"/>
          <w:color w:val="003D5E"/>
          <w:sz w:val="22"/>
          <w:szCs w:val="22"/>
          <w:lang w:val="lt-LT"/>
        </w:rPr>
        <w:t>-ieji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bus sudėtingesni</w:t>
      </w:r>
      <w:r w:rsidR="00281B90" w:rsidRPr="005B55BB">
        <w:rPr>
          <w:rFonts w:ascii="Arial" w:hAnsi="Arial" w:cs="Arial"/>
          <w:color w:val="003D5E"/>
          <w:sz w:val="22"/>
          <w:szCs w:val="22"/>
          <w:lang w:val="lt-LT"/>
        </w:rPr>
        <w:t>. D</w:t>
      </w:r>
      <w:r w:rsidR="002B020D" w:rsidRPr="005B55BB">
        <w:rPr>
          <w:rFonts w:ascii="Arial" w:hAnsi="Arial" w:cs="Arial"/>
          <w:color w:val="003D5E"/>
          <w:sz w:val="22"/>
          <w:szCs w:val="22"/>
          <w:lang w:val="lt-LT"/>
        </w:rPr>
        <w:t>idžioji dalis Lietuvos tradicinės pramonės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– </w:t>
      </w:r>
      <w:r w:rsidR="002B020D" w:rsidRPr="005B55BB">
        <w:rPr>
          <w:rFonts w:ascii="Arial" w:hAnsi="Arial" w:cs="Arial"/>
          <w:color w:val="003D5E"/>
          <w:sz w:val="22"/>
          <w:szCs w:val="22"/>
          <w:lang w:val="lt-LT"/>
        </w:rPr>
        <w:t>mediena, baldai, trąšos, plastikas, metalo gaminiai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– </w:t>
      </w:r>
      <w:r w:rsidR="002B020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veikia rinkose, kuriose bendros </w:t>
      </w:r>
      <w:r w:rsidR="005B55BB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augimo </w:t>
      </w:r>
      <w:r w:rsidR="002B020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tendencijos išlieka lėtos. Papildomą </w:t>
      </w:r>
      <w:r w:rsidR="0017623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nežinomybę kuria </w:t>
      </w:r>
      <w:r w:rsidR="002B020D" w:rsidRPr="005B55BB">
        <w:rPr>
          <w:rFonts w:ascii="Arial" w:hAnsi="Arial" w:cs="Arial"/>
          <w:color w:val="003D5E"/>
          <w:sz w:val="22"/>
          <w:szCs w:val="22"/>
          <w:lang w:val="lt-LT"/>
        </w:rPr>
        <w:t>JAV prekybos politika, kurios poveikis gali pasireikšti ne iš karto.</w:t>
      </w:r>
    </w:p>
    <w:p w14:paraId="42EA9703" w14:textId="240A8BBD" w:rsidR="002B020D" w:rsidRPr="005B55BB" w:rsidRDefault="002B020D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Transporto sektoriui sudėtinga dėl sumažėjusių gamybos apimčių užsienyje ir dėl geopolitinių aplinkybių, ypač vežant prekes į rytų kryptis, kuriose situacija išlieka neaiški.</w:t>
      </w:r>
    </w:p>
    <w:p w14:paraId="44677110" w14:textId="66B86809" w:rsidR="00965D12" w:rsidRPr="005B55BB" w:rsidRDefault="00965D12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>Chemijos pramon</w:t>
      </w:r>
      <w:r w:rsidR="006917A7"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 xml:space="preserve">ei </w:t>
      </w:r>
      <w:r w:rsidR="00FD7E2E"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</w:rPr>
        <w:t xml:space="preserve">2026 m. </w:t>
      </w:r>
      <w:r w:rsidR="006917A7"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 xml:space="preserve">taip pat </w:t>
      </w:r>
      <w:r w:rsidR="00281B90"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 xml:space="preserve">nebus </w:t>
      </w:r>
      <w:r w:rsidR="006917A7" w:rsidRPr="005B55BB">
        <w:rPr>
          <w:rStyle w:val="Strong"/>
          <w:rFonts w:ascii="Arial" w:eastAsiaTheme="majorEastAsia" w:hAnsi="Arial" w:cs="Arial"/>
          <w:b w:val="0"/>
          <w:bCs w:val="0"/>
          <w:color w:val="003D5E"/>
          <w:sz w:val="22"/>
          <w:szCs w:val="22"/>
          <w:lang w:val="lt-LT"/>
        </w:rPr>
        <w:t>lengva.</w:t>
      </w:r>
      <w:r w:rsidR="006917A7" w:rsidRPr="005B55BB">
        <w:rPr>
          <w:rStyle w:val="Strong"/>
          <w:rFonts w:ascii="Arial" w:eastAsiaTheme="majorEastAsia" w:hAnsi="Arial" w:cs="Arial"/>
          <w:color w:val="003D5E"/>
          <w:sz w:val="22"/>
          <w:szCs w:val="22"/>
          <w:lang w:val="lt-LT"/>
        </w:rPr>
        <w:t xml:space="preserve">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Dėl brangių žaliavų </w:t>
      </w:r>
      <w:r w:rsidR="006917A7" w:rsidRPr="005B55BB">
        <w:rPr>
          <w:rFonts w:ascii="Arial" w:hAnsi="Arial" w:cs="Arial"/>
          <w:color w:val="003D5E"/>
          <w:sz w:val="22"/>
          <w:szCs w:val="22"/>
          <w:lang w:val="lt-LT"/>
        </w:rPr>
        <w:t>y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pač dujų, griežtėjančių </w:t>
      </w:r>
      <w:r w:rsidR="00FD7E2E" w:rsidRPr="005B55BB">
        <w:rPr>
          <w:rFonts w:ascii="Arial" w:hAnsi="Arial" w:cs="Arial"/>
          <w:color w:val="003D5E"/>
          <w:sz w:val="22"/>
          <w:szCs w:val="22"/>
          <w:lang w:val="lt-LT"/>
        </w:rPr>
        <w:t>aplinkosaugos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reikalavimų ir konkurencijos iš rytų kaimynių </w:t>
      </w:r>
      <w:r w:rsidR="00FD7E2E" w:rsidRPr="005B55BB">
        <w:rPr>
          <w:rFonts w:ascii="Arial" w:hAnsi="Arial" w:cs="Arial"/>
          <w:color w:val="003D5E"/>
          <w:sz w:val="22"/>
          <w:szCs w:val="22"/>
          <w:lang w:val="lt-LT"/>
        </w:rPr>
        <w:t>šio sektoriaus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sąlygos išlieka sunkios.</w:t>
      </w:r>
      <w:r w:rsidR="002E34D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T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ai, kad dalis įmonių net </w:t>
      </w:r>
      <w:r w:rsidR="002E34D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nepradeda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cechų</w:t>
      </w:r>
      <w:r w:rsidR="002E34D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darbo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, rodo </w:t>
      </w:r>
      <w:r w:rsidR="002E34DE" w:rsidRPr="005B55BB">
        <w:rPr>
          <w:rFonts w:ascii="Arial" w:hAnsi="Arial" w:cs="Arial"/>
          <w:color w:val="003D5E"/>
          <w:sz w:val="22"/>
          <w:szCs w:val="22"/>
          <w:lang w:val="lt-LT"/>
        </w:rPr>
        <w:t>sudėtingą situaciją rinkoje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. </w:t>
      </w:r>
      <w:r w:rsidR="002E34DE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Artimiausiais metais reikšmingo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palengvėjimo tikėtis </w:t>
      </w:r>
      <w:r w:rsidR="00056B77" w:rsidRPr="005B55BB">
        <w:rPr>
          <w:rFonts w:ascii="Arial" w:hAnsi="Arial" w:cs="Arial"/>
          <w:color w:val="003D5E"/>
          <w:sz w:val="22"/>
          <w:szCs w:val="22"/>
          <w:lang w:val="lt-LT"/>
        </w:rPr>
        <w:t>nereikėtų.</w:t>
      </w:r>
    </w:p>
    <w:p w14:paraId="20B85B4C" w14:textId="51B910FF" w:rsidR="008622D2" w:rsidRPr="005B55BB" w:rsidRDefault="00AB7E19" w:rsidP="00F1786F">
      <w:pPr>
        <w:pStyle w:val="NormalWeb"/>
        <w:jc w:val="both"/>
        <w:rPr>
          <w:rFonts w:ascii="Arial" w:hAnsi="Arial" w:cs="Arial"/>
          <w:b/>
          <w:bCs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Ateinančių metų rizikos ir kryptys</w:t>
      </w:r>
    </w:p>
    <w:p w14:paraId="6C3788DD" w14:textId="73FC5C0E" w:rsidR="008622D2" w:rsidRPr="005B55BB" w:rsidRDefault="00B92671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2026 metais</w:t>
      </w:r>
      <w:r w:rsidR="00C9755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išlieka</w:t>
      </w:r>
      <w:r w:rsidR="00C5656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tikimybė,</w:t>
      </w:r>
      <w:r w:rsidR="00C9755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kad realybė gali būti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sudėtingesnė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nei šiandien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leidžia manyti prognozės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. Tai ypač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aktualu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pramonei ir transportui, kur užsakymų jau </w:t>
      </w:r>
      <w:r w:rsidR="00356C5A" w:rsidRPr="005B55BB">
        <w:rPr>
          <w:rFonts w:ascii="Arial" w:hAnsi="Arial" w:cs="Arial"/>
          <w:color w:val="003D5E"/>
          <w:sz w:val="22"/>
          <w:szCs w:val="22"/>
          <w:lang w:val="lt-LT"/>
        </w:rPr>
        <w:t>sumažėję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>, o geopolitinis netikrumas gali paveikti tiek paklausą, tiek logistiką. Kita rizika susijusi su JAV politika, kuri gali lemti papildomų nežinomųjų dėl prekybos su rytų kryptimis ir jų poveikio Lietuvos vežėjams.</w:t>
      </w:r>
    </w:p>
    <w:p w14:paraId="298A7734" w14:textId="7FA4B32B" w:rsidR="008622D2" w:rsidRPr="005B55BB" w:rsidRDefault="00356C5A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M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>ažai tikėtina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>, tačiau reikšminga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galimybė 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būtų 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karo Ukrainoje pabaiga. Tai iš karto sumažintų rizikų lygį, atvertų naujų paslaugų ir projektų poreikį Europoje </w:t>
      </w:r>
      <w:r w:rsidR="00E6079A" w:rsidRPr="005B55BB">
        <w:rPr>
          <w:rFonts w:ascii="Arial" w:hAnsi="Arial" w:cs="Arial"/>
          <w:color w:val="003D5E"/>
          <w:sz w:val="22"/>
          <w:szCs w:val="22"/>
          <w:lang w:val="lt-LT"/>
        </w:rPr>
        <w:t>bei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sukurtų naują ekonominių galimybių etapą. Vis dėlto dabartinės aplinkybės rodo, kad tokia perspektyva 2026 m. nėra labiausiai tikėtinas scenarijus.</w:t>
      </w:r>
    </w:p>
    <w:p w14:paraId="27A1EFE5" w14:textId="5DE44C89" w:rsidR="00DB21A6" w:rsidRPr="005B55BB" w:rsidRDefault="002C693C" w:rsidP="00F1786F">
      <w:pPr>
        <w:pStyle w:val="NormalWeb"/>
        <w:jc w:val="both"/>
        <w:rPr>
          <w:rFonts w:ascii="Arial" w:hAnsi="Arial" w:cs="Arial"/>
          <w:color w:val="003D5E"/>
          <w:sz w:val="22"/>
          <w:szCs w:val="22"/>
          <w:lang w:val="lt-LT"/>
        </w:rPr>
      </w:pPr>
      <w:r w:rsidRPr="005B55BB">
        <w:rPr>
          <w:rFonts w:ascii="Arial" w:hAnsi="Arial" w:cs="Arial"/>
          <w:color w:val="003D5E"/>
          <w:sz w:val="22"/>
          <w:szCs w:val="22"/>
          <w:lang w:val="lt-LT"/>
        </w:rPr>
        <w:t>Vertinant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2026 metus, bendras Lietuvos ekonomikos vaizdas </w:t>
      </w:r>
      <w:r w:rsidR="005655A3" w:rsidRPr="005B55BB">
        <w:rPr>
          <w:rFonts w:ascii="Arial" w:hAnsi="Arial" w:cs="Arial"/>
          <w:color w:val="003D5E"/>
          <w:sz w:val="22"/>
          <w:szCs w:val="22"/>
          <w:lang w:val="lt-LT"/>
        </w:rPr>
        <w:t>išlieka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00AD5695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labiau 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>pozityv</w:t>
      </w:r>
      <w:r w:rsidR="00AD5695" w:rsidRPr="005B55BB">
        <w:rPr>
          <w:rFonts w:ascii="Arial" w:hAnsi="Arial" w:cs="Arial"/>
          <w:color w:val="003D5E"/>
          <w:sz w:val="22"/>
          <w:szCs w:val="22"/>
          <w:lang w:val="lt-LT"/>
        </w:rPr>
        <w:t>us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nei neigiamas. Vidaus rinkos verslai turės palankesnes sąlygas, tuo tarpu eksportuojantys sektoriai ir toliau veiks didelio netikrumo aplinkoje. Tačiau tai nereiškia, kad struktūrinės problemos bus išspręstos – tai bus labiau vieneri stipresni metai, kurių poveikis </w:t>
      </w:r>
      <w:r w:rsidR="00B34ACD" w:rsidRPr="005B55BB">
        <w:rPr>
          <w:rFonts w:ascii="Arial" w:hAnsi="Arial" w:cs="Arial"/>
          <w:color w:val="003D5E"/>
          <w:sz w:val="22"/>
          <w:szCs w:val="22"/>
          <w:lang w:val="lt-LT"/>
        </w:rPr>
        <w:t>bus laikinas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. Po jų ekonomika </w:t>
      </w:r>
      <w:r w:rsidR="00B34AC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gali 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>grį</w:t>
      </w:r>
      <w:r w:rsidR="008F2783" w:rsidRPr="005B55BB">
        <w:rPr>
          <w:rFonts w:ascii="Arial" w:hAnsi="Arial" w:cs="Arial"/>
          <w:color w:val="003D5E"/>
          <w:sz w:val="22"/>
          <w:szCs w:val="22"/>
          <w:lang w:val="lt-LT"/>
        </w:rPr>
        <w:t>žti</w:t>
      </w:r>
      <w:r w:rsidR="00B34ACD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prie</w:t>
      </w:r>
      <w:r w:rsidR="008622D2"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 kuklesni</w:t>
      </w:r>
      <w:r w:rsidRPr="005B55BB">
        <w:rPr>
          <w:rFonts w:ascii="Arial" w:hAnsi="Arial" w:cs="Arial"/>
          <w:color w:val="003D5E"/>
          <w:sz w:val="22"/>
          <w:szCs w:val="22"/>
          <w:lang w:val="lt-LT"/>
        </w:rPr>
        <w:t xml:space="preserve">o </w:t>
      </w:r>
      <w:r w:rsidR="00B34ACD" w:rsidRPr="005B55BB">
        <w:rPr>
          <w:rFonts w:ascii="Arial" w:hAnsi="Arial" w:cs="Arial"/>
          <w:color w:val="003D5E"/>
          <w:sz w:val="22"/>
          <w:szCs w:val="22"/>
          <w:lang w:val="lt-LT"/>
        </w:rPr>
        <w:t>augimo.</w:t>
      </w:r>
    </w:p>
    <w:sectPr w:rsidR="00DB21A6" w:rsidRPr="005B5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D082" w14:textId="77777777" w:rsidR="00ED52EE" w:rsidRDefault="00ED52EE" w:rsidP="00F127F7">
      <w:pPr>
        <w:spacing w:after="0" w:line="240" w:lineRule="auto"/>
      </w:pPr>
      <w:r>
        <w:separator/>
      </w:r>
    </w:p>
  </w:endnote>
  <w:endnote w:type="continuationSeparator" w:id="0">
    <w:p w14:paraId="5C6938DC" w14:textId="77777777" w:rsidR="00ED52EE" w:rsidRDefault="00ED52EE" w:rsidP="00F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246B" w14:textId="77777777" w:rsidR="00ED52EE" w:rsidRDefault="00ED52EE" w:rsidP="00F127F7">
      <w:pPr>
        <w:spacing w:after="0" w:line="240" w:lineRule="auto"/>
      </w:pPr>
      <w:r>
        <w:separator/>
      </w:r>
    </w:p>
  </w:footnote>
  <w:footnote w:type="continuationSeparator" w:id="0">
    <w:p w14:paraId="192CE6AD" w14:textId="77777777" w:rsidR="00ED52EE" w:rsidRDefault="00ED52EE" w:rsidP="00F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1587"/>
    <w:multiLevelType w:val="multilevel"/>
    <w:tmpl w:val="716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820C2"/>
    <w:multiLevelType w:val="multilevel"/>
    <w:tmpl w:val="E28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914279">
    <w:abstractNumId w:val="0"/>
  </w:num>
  <w:num w:numId="2" w16cid:durableId="121276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D2"/>
    <w:rsid w:val="00002579"/>
    <w:rsid w:val="00044742"/>
    <w:rsid w:val="00056B77"/>
    <w:rsid w:val="001554AE"/>
    <w:rsid w:val="00171B3C"/>
    <w:rsid w:val="00172A76"/>
    <w:rsid w:val="0017623D"/>
    <w:rsid w:val="00246619"/>
    <w:rsid w:val="0025272D"/>
    <w:rsid w:val="00281B90"/>
    <w:rsid w:val="002B020D"/>
    <w:rsid w:val="002B51BB"/>
    <w:rsid w:val="002C693C"/>
    <w:rsid w:val="002E34DE"/>
    <w:rsid w:val="00327646"/>
    <w:rsid w:val="003477D2"/>
    <w:rsid w:val="00356C5A"/>
    <w:rsid w:val="003E78C5"/>
    <w:rsid w:val="00412B83"/>
    <w:rsid w:val="00454AD4"/>
    <w:rsid w:val="004814B7"/>
    <w:rsid w:val="005655A3"/>
    <w:rsid w:val="005B55BB"/>
    <w:rsid w:val="006326FB"/>
    <w:rsid w:val="006917A7"/>
    <w:rsid w:val="00697A97"/>
    <w:rsid w:val="006B2112"/>
    <w:rsid w:val="006D5005"/>
    <w:rsid w:val="006E16AB"/>
    <w:rsid w:val="00761431"/>
    <w:rsid w:val="007861F3"/>
    <w:rsid w:val="007C5CF6"/>
    <w:rsid w:val="007D6AAD"/>
    <w:rsid w:val="008601CC"/>
    <w:rsid w:val="008622D2"/>
    <w:rsid w:val="008726DB"/>
    <w:rsid w:val="008B12AC"/>
    <w:rsid w:val="008B1943"/>
    <w:rsid w:val="008F2783"/>
    <w:rsid w:val="00936318"/>
    <w:rsid w:val="00965D12"/>
    <w:rsid w:val="009B5F48"/>
    <w:rsid w:val="009B6F65"/>
    <w:rsid w:val="00A02252"/>
    <w:rsid w:val="00A46E20"/>
    <w:rsid w:val="00A715AF"/>
    <w:rsid w:val="00A76D01"/>
    <w:rsid w:val="00AB3AC5"/>
    <w:rsid w:val="00AB7E19"/>
    <w:rsid w:val="00AD5695"/>
    <w:rsid w:val="00B15566"/>
    <w:rsid w:val="00B30288"/>
    <w:rsid w:val="00B34ACD"/>
    <w:rsid w:val="00B92671"/>
    <w:rsid w:val="00B95308"/>
    <w:rsid w:val="00BC0BB2"/>
    <w:rsid w:val="00BE0732"/>
    <w:rsid w:val="00C2382E"/>
    <w:rsid w:val="00C56562"/>
    <w:rsid w:val="00C97555"/>
    <w:rsid w:val="00CA796B"/>
    <w:rsid w:val="00DB21A6"/>
    <w:rsid w:val="00E24E09"/>
    <w:rsid w:val="00E32682"/>
    <w:rsid w:val="00E6079A"/>
    <w:rsid w:val="00ED52EE"/>
    <w:rsid w:val="00F127F7"/>
    <w:rsid w:val="00F1786F"/>
    <w:rsid w:val="00F24473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8C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2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22D2"/>
    <w:rPr>
      <w:b/>
      <w:bCs/>
    </w:rPr>
  </w:style>
  <w:style w:type="paragraph" w:styleId="Revision">
    <w:name w:val="Revision"/>
    <w:hidden/>
    <w:uiPriority w:val="99"/>
    <w:semiHidden/>
    <w:rsid w:val="00AD56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5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6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7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7F7"/>
  </w:style>
  <w:style w:type="paragraph" w:styleId="Footer">
    <w:name w:val="footer"/>
    <w:basedOn w:val="Normal"/>
    <w:link w:val="FooterChar"/>
    <w:uiPriority w:val="99"/>
    <w:unhideWhenUsed/>
    <w:rsid w:val="00F127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2025-12-17T07:13:00Z</dcterms:created>
  <dcterms:modified xsi:type="dcterms:W3CDTF">2025-12-17T07:13:00Z</dcterms:modified>
</cp:coreProperties>
</file>