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5506" w14:textId="30E58B9B" w:rsidR="00053EFA" w:rsidRPr="00AF2301" w:rsidRDefault="00053EFA" w:rsidP="00AF2301">
      <w:pPr>
        <w:rPr>
          <w:rFonts w:ascii="Arial" w:hAnsi="Arial" w:cs="Arial"/>
          <w:b/>
          <w:bCs/>
          <w:color w:val="003D5E"/>
          <w:lang w:val="lt-LT"/>
        </w:rPr>
      </w:pPr>
      <w:r w:rsidRPr="00AF2301">
        <w:rPr>
          <w:rFonts w:ascii="Arial" w:hAnsi="Arial" w:cs="Arial"/>
          <w:b/>
          <w:bCs/>
          <w:color w:val="003D5E"/>
          <w:lang w:val="lt-LT"/>
        </w:rPr>
        <w:t>PRANEŠIMAS ŽINIASKLAIDAI</w:t>
      </w:r>
      <w:r w:rsidR="00AF2301">
        <w:rPr>
          <w:rFonts w:ascii="Arial" w:hAnsi="Arial" w:cs="Arial"/>
          <w:b/>
          <w:bCs/>
          <w:color w:val="003D5E"/>
          <w:lang w:val="lt-LT"/>
        </w:rPr>
        <w:br/>
      </w:r>
      <w:r w:rsidRPr="00AF2301">
        <w:rPr>
          <w:rFonts w:ascii="Arial" w:hAnsi="Arial" w:cs="Arial"/>
          <w:color w:val="003D5E"/>
          <w:sz w:val="20"/>
          <w:szCs w:val="20"/>
          <w:lang w:val="lt-LT"/>
        </w:rPr>
        <w:t xml:space="preserve">2025 m. </w:t>
      </w:r>
      <w:r w:rsidR="00F84CF4" w:rsidRPr="00AF2301">
        <w:rPr>
          <w:rFonts w:ascii="Arial" w:hAnsi="Arial" w:cs="Arial"/>
          <w:color w:val="003D5E"/>
          <w:sz w:val="20"/>
          <w:szCs w:val="20"/>
          <w:lang w:val="lt-LT"/>
        </w:rPr>
        <w:t>lapkričio</w:t>
      </w:r>
      <w:r w:rsidRPr="00AF2301">
        <w:rPr>
          <w:rFonts w:ascii="Arial" w:hAnsi="Arial" w:cs="Arial"/>
          <w:color w:val="003D5E"/>
          <w:sz w:val="20"/>
          <w:szCs w:val="20"/>
          <w:lang w:val="lt-LT"/>
        </w:rPr>
        <w:t xml:space="preserve"> </w:t>
      </w:r>
      <w:r w:rsidR="00AF2301" w:rsidRPr="00AF2301">
        <w:rPr>
          <w:rFonts w:ascii="Arial" w:hAnsi="Arial" w:cs="Arial"/>
          <w:color w:val="003D5E"/>
          <w:sz w:val="20"/>
          <w:szCs w:val="20"/>
          <w:lang w:val="lt-LT"/>
        </w:rPr>
        <w:t>27</w:t>
      </w:r>
      <w:r w:rsidR="00F84CF4" w:rsidRPr="00AF2301">
        <w:rPr>
          <w:rFonts w:ascii="Arial" w:hAnsi="Arial" w:cs="Arial"/>
          <w:color w:val="003D5E"/>
          <w:sz w:val="20"/>
          <w:szCs w:val="20"/>
          <w:lang w:val="lt-LT"/>
        </w:rPr>
        <w:t xml:space="preserve"> d.</w:t>
      </w:r>
    </w:p>
    <w:p w14:paraId="5D97E10A" w14:textId="3E6BADB2" w:rsidR="00FB1F10" w:rsidRPr="00AF2301" w:rsidRDefault="00FB1F10" w:rsidP="00AF2301">
      <w:pPr>
        <w:rPr>
          <w:rFonts w:ascii="Arial" w:hAnsi="Arial" w:cs="Arial"/>
          <w:b/>
          <w:bCs/>
          <w:color w:val="003D5E"/>
          <w:sz w:val="22"/>
          <w:szCs w:val="22"/>
          <w:lang w:val="lt-LT"/>
        </w:rPr>
      </w:pPr>
      <w:r w:rsidRPr="00AF2301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Portfelinės garantijos </w:t>
      </w:r>
      <w:r w:rsidR="00F132D5" w:rsidRPr="00AF2301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>didins</w:t>
      </w:r>
      <w:r w:rsidRPr="00AF2301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finansavimo prieinamumą:</w:t>
      </w:r>
      <w:r w:rsidR="00957EF2" w:rsidRPr="00AF2301">
        <w:rPr>
          <w:rFonts w:ascii="Arial" w:hAnsi="Arial" w:cs="Arial"/>
          <w:b/>
          <w:bCs/>
          <w:color w:val="003D5E"/>
          <w:sz w:val="22"/>
          <w:szCs w:val="22"/>
          <w:lang w:val="lt-LT"/>
        </w:rPr>
        <w:t xml:space="preserve"> verslui galės suteikti beveik 600 mln. eurų paskolų</w:t>
      </w:r>
    </w:p>
    <w:p w14:paraId="267603EC" w14:textId="0E065C81" w:rsidR="003F5FCF" w:rsidRPr="00AF2301" w:rsidRDefault="00C24A77" w:rsidP="00AF2301">
      <w:pPr>
        <w:rPr>
          <w:rFonts w:ascii="Arial" w:hAnsi="Arial" w:cs="Arial"/>
          <w:color w:val="003D5E"/>
          <w:sz w:val="22"/>
          <w:szCs w:val="22"/>
          <w:lang w:val="lt-LT"/>
        </w:rPr>
      </w:pPr>
      <w:r w:rsidRPr="00AF2301">
        <w:rPr>
          <w:rFonts w:ascii="Arial" w:hAnsi="Arial" w:cs="Arial"/>
          <w:color w:val="003D5E"/>
          <w:sz w:val="22"/>
          <w:szCs w:val="22"/>
          <w:lang w:val="lt-LT"/>
        </w:rPr>
        <w:t>A</w:t>
      </w:r>
      <w:r w:rsidR="00EC149C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ugant </w:t>
      </w:r>
      <w:r w:rsidR="003F5FCF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smulkiojo ir vidutinio verslo finansavimo </w:t>
      </w:r>
      <w:r w:rsidR="00EC149C" w:rsidRPr="00AF2301">
        <w:rPr>
          <w:rFonts w:ascii="Arial" w:hAnsi="Arial" w:cs="Arial"/>
          <w:color w:val="003D5E"/>
          <w:sz w:val="22"/>
          <w:szCs w:val="22"/>
          <w:lang w:val="lt-LT"/>
        </w:rPr>
        <w:t>poreik</w:t>
      </w:r>
      <w:r w:rsidRPr="00AF2301">
        <w:rPr>
          <w:rFonts w:ascii="Arial" w:hAnsi="Arial" w:cs="Arial"/>
          <w:color w:val="003D5E"/>
          <w:sz w:val="22"/>
          <w:szCs w:val="22"/>
          <w:lang w:val="lt-LT"/>
        </w:rPr>
        <w:t>iui,</w:t>
      </w:r>
      <w:r w:rsidR="3FECC939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 xml:space="preserve"> 2025 metais finansinės priemonės </w:t>
      </w:r>
      <w:r w:rsidR="3FECC939" w:rsidRPr="00AF2301">
        <w:rPr>
          <w:rFonts w:ascii="Arial" w:hAnsi="Arial" w:cs="Arial"/>
          <w:color w:val="003D5E"/>
          <w:sz w:val="22"/>
          <w:szCs w:val="22"/>
          <w:lang w:val="lt-LT"/>
        </w:rPr>
        <w:t>„Portfelinės garantijos 3“</w:t>
      </w:r>
      <w:r w:rsidR="3FECC939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 xml:space="preserve"> portfelis paaugo </w:t>
      </w:r>
      <w:r w:rsidR="222EF7D6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>45</w:t>
      </w:r>
      <w:r w:rsidR="3FECC939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 xml:space="preserve"> proc.</w:t>
      </w:r>
      <w:r w:rsidR="5A73E73B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 xml:space="preserve">, t. y. </w:t>
      </w:r>
      <w:r w:rsidR="0899B8CD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>175</w:t>
      </w:r>
      <w:r w:rsidR="5A73E73B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 xml:space="preserve"> mln. eurų</w:t>
      </w:r>
      <w:r w:rsidR="3FECC939" w:rsidRPr="00AF2301">
        <w:rPr>
          <w:rFonts w:ascii="Arial" w:eastAsia="Aptos" w:hAnsi="Arial" w:cs="Arial"/>
          <w:color w:val="003D5E"/>
          <w:sz w:val="22"/>
          <w:szCs w:val="22"/>
          <w:lang w:val="lt-LT"/>
        </w:rPr>
        <w:t>.</w:t>
      </w:r>
      <w:r w:rsidR="000410F1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="007013E2" w:rsidRPr="00AF2301">
        <w:rPr>
          <w:rFonts w:ascii="Arial" w:hAnsi="Arial" w:cs="Arial"/>
          <w:color w:val="003D5E"/>
          <w:sz w:val="22"/>
          <w:szCs w:val="22"/>
          <w:lang w:val="lt-LT"/>
        </w:rPr>
        <w:t>Siekdamas plėsti finansavimo prieinamumą</w:t>
      </w:r>
      <w:r w:rsidR="003B732F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, </w:t>
      </w:r>
      <w:r w:rsidR="00B742FA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nacionalinis plėtros bankas </w:t>
      </w:r>
      <w:r w:rsidR="007013E2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ILTE </w:t>
      </w:r>
      <w:r w:rsidR="003B732F" w:rsidRPr="00AF2301">
        <w:rPr>
          <w:rFonts w:ascii="Arial" w:hAnsi="Arial" w:cs="Arial"/>
          <w:color w:val="003D5E"/>
          <w:sz w:val="22"/>
          <w:szCs w:val="22"/>
          <w:lang w:val="lt-LT"/>
        </w:rPr>
        <w:t>pasirašė šešias sutartis su bankais dėl papildomų 54 mln. eurų</w:t>
      </w:r>
      <w:r w:rsidR="000F4028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  <w:r w:rsidR="1B6DB800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priemonės lėšų </w:t>
      </w:r>
      <w:r w:rsidR="23562351" w:rsidRPr="00AF2301">
        <w:rPr>
          <w:rFonts w:ascii="Arial" w:eastAsia="Times New Roman" w:hAnsi="Arial" w:cs="Arial"/>
          <w:color w:val="003D5E"/>
          <w:sz w:val="22"/>
          <w:szCs w:val="22"/>
          <w:lang w:val="lt-LT" w:eastAsia="en-GB"/>
        </w:rPr>
        <w:t>–</w:t>
      </w:r>
      <w:r w:rsidR="585B9ACB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 j</w:t>
      </w:r>
      <w:r w:rsidR="00F00184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os </w:t>
      </w:r>
      <w:r w:rsidR="009A6D2E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leis </w:t>
      </w:r>
      <w:r w:rsidR="00F00184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finansų įstaigoms suteikti </w:t>
      </w:r>
      <w:r w:rsidR="61695D6C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garantuojamų </w:t>
      </w:r>
      <w:r w:rsidR="00F00184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paskolų </w:t>
      </w:r>
      <w:r w:rsidR="1535B541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verslui </w:t>
      </w:r>
      <w:r w:rsidR="00386465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už </w:t>
      </w:r>
      <w:r w:rsidR="3F67B5CD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maždaug 600 mln. </w:t>
      </w:r>
      <w:r w:rsidR="00386465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eurų. </w:t>
      </w:r>
      <w:r w:rsidR="771A94A6" w:rsidRPr="00AF2301">
        <w:rPr>
          <w:rFonts w:ascii="Arial" w:hAnsi="Arial" w:cs="Arial"/>
          <w:color w:val="003D5E"/>
          <w:sz w:val="22"/>
          <w:szCs w:val="22"/>
          <w:lang w:val="lt-LT"/>
        </w:rPr>
        <w:t xml:space="preserve"> </w:t>
      </w:r>
    </w:p>
    <w:p w14:paraId="611AB02C" w14:textId="6DAA92DC" w:rsidR="004C1A07" w:rsidRPr="00AF2301" w:rsidRDefault="004C1A07" w:rsidP="00AF2301">
      <w:pPr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</w:pP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Papildom</w:t>
      </w:r>
      <w:r w:rsidR="001A791D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os lėšos 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leis finansų įstaigoms per ateinančius trejus metus suteikti </w:t>
      </w:r>
      <w:r w:rsidR="00840A21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paskolas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, kurios daliai įmonių nebūtų pasiekiamos be valstybės garantijų.</w:t>
      </w:r>
      <w:r w:rsidR="00367E97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Papildomos lėšos paskirstytos </w:t>
      </w:r>
      <w:r w:rsidR="000059B5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„</w:t>
      </w:r>
      <w:proofErr w:type="spellStart"/>
      <w:r w:rsidR="000059B5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Artea</w:t>
      </w:r>
      <w:proofErr w:type="spellEnd"/>
      <w:r w:rsidR="000059B5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“, „Citadele“, „</w:t>
      </w:r>
      <w:proofErr w:type="spellStart"/>
      <w:r w:rsidR="000059B5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Luminor</w:t>
      </w:r>
      <w:proofErr w:type="spellEnd"/>
      <w:r w:rsidR="000059B5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“, SEB, 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„Swedbank“ ir „Urbo“ bankams</w:t>
      </w:r>
      <w:r w:rsidR="007A4601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.</w:t>
      </w:r>
    </w:p>
    <w:p w14:paraId="09F6636F" w14:textId="0D5C52A9" w:rsidR="00822151" w:rsidRPr="00AF2301" w:rsidRDefault="00AA606B" w:rsidP="00AF2301">
      <w:pPr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</w:pP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Pasak</w:t>
      </w:r>
      <w:r w:rsidR="0015467E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ILTE valdybos narė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s</w:t>
      </w:r>
      <w:r w:rsidR="0015467E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, </w:t>
      </w:r>
      <w:r w:rsidR="003150E9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K</w:t>
      </w:r>
      <w:r w:rsidR="0015467E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lientų aptarnavimo ir finansavimo </w:t>
      </w:r>
      <w:r w:rsidR="003150E9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tarnybos vadovės </w:t>
      </w:r>
      <w:r w:rsidR="0015467E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Giedrė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s</w:t>
      </w:r>
      <w:r w:rsidR="0015467E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Gečiauskienė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s</w:t>
      </w:r>
      <w:r w:rsidR="0015467E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, v</w:t>
      </w:r>
      <w:r w:rsidR="004C1A07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erslai, planuojantys modernizuoti veiklą, investuoti į technologijas ar pertvarkyti veiklos procesus, vis dažniau susiduria su griežtesniais finansavimo kriterijais. </w:t>
      </w:r>
    </w:p>
    <w:p w14:paraId="479E34A1" w14:textId="0ABD6D41" w:rsidR="004C1A07" w:rsidRPr="00AF2301" w:rsidRDefault="009B4F1B" w:rsidP="00AF2301">
      <w:pPr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</w:pP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„Portfelinės garantijos </w:t>
      </w:r>
      <w:r w:rsidR="00995AC3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mažina finansavimo riziką bankams ir kitoms finansų įstaigoms, 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nes </w:t>
      </w:r>
      <w:r w:rsidR="7931CA51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riziką su finansų įstaigomis dalijasi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valstybė. Tai </w:t>
      </w:r>
      <w:r w:rsidR="008D58E1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leidžia finansuotojams lanksčiau vertinti įmonių planus, o pačiam </w:t>
      </w:r>
      <w:r w:rsidR="550FD151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klientui</w:t>
      </w:r>
      <w:r w:rsidR="008D58E1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procesas tampa paprastesnis 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– </w:t>
      </w:r>
      <w:r w:rsidR="008D58E1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galima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kreiptis tiesiai į pasirinktą finansuotoją ir tikėtis </w:t>
      </w:r>
      <w:r w:rsidR="676A4BE3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operatyvaus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sprendimo“, – sako G. Gečiauskienė. </w:t>
      </w:r>
    </w:p>
    <w:p w14:paraId="59E20069" w14:textId="6CE1C14C" w:rsidR="00CF51F5" w:rsidRPr="00AF2301" w:rsidRDefault="00CF51F5" w:rsidP="00AF2301">
      <w:pPr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</w:pP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Pasak jos, tokios</w:t>
      </w:r>
      <w:r w:rsidR="1A5A16E2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priemonės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kaip portfelinės garantijos, tampa svarbia finansinio balanso dalimi – jos leidžia sumažinti riziką finansų įstaigoms ir atverti kelią platesniam įmonių ratui.</w:t>
      </w:r>
    </w:p>
    <w:p w14:paraId="62BC2291" w14:textId="197D4F07" w:rsidR="001E3EE0" w:rsidRPr="00AF2301" w:rsidRDefault="0015467E" w:rsidP="00AF2301">
      <w:pPr>
        <w:rPr>
          <w:rFonts w:ascii="Arial" w:eastAsia="Times New Roman" w:hAnsi="Arial" w:cs="Arial"/>
          <w:i/>
          <w:iCs/>
          <w:color w:val="003D5E"/>
          <w:sz w:val="22"/>
          <w:szCs w:val="22"/>
          <w:lang w:val="lt-LT" w:eastAsia="en-GB"/>
        </w:rPr>
      </w:pP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Rugsėjo mėn. duomenimis, nuo </w:t>
      </w:r>
      <w:r w:rsidR="008F0554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finansinės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priemonės</w:t>
      </w:r>
      <w:r w:rsidR="008F0554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„Portfelinės garantijos 3“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pradžios</w:t>
      </w:r>
      <w:r w:rsidR="002B2550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paskolų su garantijomis sutarčių vertė </w:t>
      </w:r>
      <w:r w:rsidR="008F0554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–</w:t>
      </w:r>
      <w:r w:rsidR="002B2550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beveik </w:t>
      </w:r>
      <w:r w:rsidR="009720FF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559 </w:t>
      </w:r>
      <w:r w:rsidR="002B2550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mln. Eur.</w:t>
      </w:r>
      <w:r w:rsidR="008F0554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</w:t>
      </w:r>
      <w:r w:rsidR="002B2550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D</w:t>
      </w:r>
      <w:r w:rsidR="008F0554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idžioji dalis šiemet </w:t>
      </w:r>
      <w:r w:rsidR="00130CC2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>skirtų</w:t>
      </w:r>
      <w:r w:rsidR="008F0554"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paskolų teko įmonėms, veikiančioms prekybos, apdirbamosios gamybos ir statybos sektoriuose.</w:t>
      </w:r>
      <w:r w:rsidRPr="00AF2301">
        <w:rPr>
          <w:rFonts w:ascii="Arial" w:eastAsia="Times New Roman" w:hAnsi="Arial" w:cs="Arial"/>
          <w:color w:val="003D5E"/>
          <w:kern w:val="0"/>
          <w:sz w:val="22"/>
          <w:szCs w:val="22"/>
          <w:lang w:val="lt-LT" w:eastAsia="en-GB"/>
          <w14:ligatures w14:val="none"/>
        </w:rPr>
        <w:t xml:space="preserve"> </w:t>
      </w:r>
      <w:r w:rsidR="185246CE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 xml:space="preserve">Šiuo metu finansavimą su </w:t>
      </w:r>
      <w:r w:rsidR="00B04C98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>portfeline</w:t>
      </w:r>
      <w:r w:rsidR="185246CE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 xml:space="preserve"> garantija teikia </w:t>
      </w:r>
      <w:r w:rsidR="2C82A818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>finansų įstaigos</w:t>
      </w:r>
      <w:r w:rsidR="185246CE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>, kuri</w:t>
      </w:r>
      <w:r w:rsidR="345E550A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>as</w:t>
      </w:r>
      <w:r w:rsidR="185246CE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 xml:space="preserve"> galite rasti </w:t>
      </w:r>
      <w:hyperlink r:id="rId4" w:history="1">
        <w:r w:rsidR="1D26241B" w:rsidRPr="00AF2301">
          <w:rPr>
            <w:rStyle w:val="Hyperlink"/>
            <w:rFonts w:ascii="Arial" w:eastAsia="Times New Roman" w:hAnsi="Arial" w:cs="Arial"/>
            <w:color w:val="003D5E"/>
            <w:sz w:val="22"/>
            <w:szCs w:val="22"/>
          </w:rPr>
          <w:t xml:space="preserve">ILTE </w:t>
        </w:r>
        <w:proofErr w:type="spellStart"/>
        <w:r w:rsidR="1D26241B" w:rsidRPr="00AF2301">
          <w:rPr>
            <w:rStyle w:val="Hyperlink"/>
            <w:rFonts w:ascii="Arial" w:eastAsia="Times New Roman" w:hAnsi="Arial" w:cs="Arial"/>
            <w:color w:val="003D5E"/>
            <w:sz w:val="22"/>
            <w:szCs w:val="22"/>
          </w:rPr>
          <w:t>interneto</w:t>
        </w:r>
        <w:proofErr w:type="spellEnd"/>
        <w:r w:rsidR="1D26241B" w:rsidRPr="00AF2301">
          <w:rPr>
            <w:rStyle w:val="Hyperlink"/>
            <w:rFonts w:ascii="Arial" w:eastAsia="Times New Roman" w:hAnsi="Arial" w:cs="Arial"/>
            <w:color w:val="003D5E"/>
            <w:sz w:val="22"/>
            <w:szCs w:val="22"/>
          </w:rPr>
          <w:t xml:space="preserve"> </w:t>
        </w:r>
        <w:proofErr w:type="spellStart"/>
        <w:r w:rsidR="1D26241B" w:rsidRPr="00AF2301">
          <w:rPr>
            <w:rStyle w:val="Hyperlink"/>
            <w:rFonts w:ascii="Arial" w:eastAsia="Times New Roman" w:hAnsi="Arial" w:cs="Arial"/>
            <w:color w:val="003D5E"/>
            <w:sz w:val="22"/>
            <w:szCs w:val="22"/>
          </w:rPr>
          <w:t>svetainėje</w:t>
        </w:r>
        <w:proofErr w:type="spellEnd"/>
        <w:r w:rsidR="1D26241B" w:rsidRPr="00AF2301">
          <w:rPr>
            <w:rStyle w:val="Hyperlink"/>
            <w:rFonts w:ascii="Arial" w:eastAsia="Times New Roman" w:hAnsi="Arial" w:cs="Arial"/>
            <w:color w:val="003D5E"/>
            <w:sz w:val="22"/>
            <w:szCs w:val="22"/>
          </w:rPr>
          <w:t>.</w:t>
        </w:r>
      </w:hyperlink>
      <w:r w:rsidR="185246CE" w:rsidRPr="00AF2301">
        <w:rPr>
          <w:rFonts w:ascii="Arial" w:eastAsia="Times New Roman" w:hAnsi="Arial" w:cs="Arial"/>
          <w:color w:val="003D5E"/>
          <w:sz w:val="22"/>
          <w:szCs w:val="22"/>
          <w:lang w:val="lt-LT"/>
        </w:rPr>
        <w:t xml:space="preserve"> </w:t>
      </w:r>
    </w:p>
    <w:p w14:paraId="37CE598F" w14:textId="07D40855" w:rsidR="001E3EE0" w:rsidRPr="00AF2301" w:rsidRDefault="00DE57AA" w:rsidP="00AF2301">
      <w:pPr>
        <w:rPr>
          <w:rFonts w:ascii="Arial" w:eastAsia="Times New Roman" w:hAnsi="Arial" w:cs="Arial"/>
          <w:i/>
          <w:iCs/>
          <w:color w:val="003D5E"/>
          <w:kern w:val="0"/>
          <w:sz w:val="22"/>
          <w:szCs w:val="22"/>
          <w:lang w:val="lt-LT" w:eastAsia="en-GB"/>
          <w14:ligatures w14:val="none"/>
        </w:rPr>
      </w:pPr>
      <w:r w:rsidRPr="00AF2301">
        <w:rPr>
          <w:rFonts w:ascii="Arial" w:eastAsia="Times New Roman" w:hAnsi="Arial" w:cs="Arial"/>
          <w:i/>
          <w:iCs/>
          <w:color w:val="003D5E"/>
          <w:kern w:val="0"/>
          <w:sz w:val="22"/>
          <w:szCs w:val="22"/>
          <w:lang w:val="lt-LT" w:eastAsia="en-GB"/>
          <w14:ligatures w14:val="none"/>
        </w:rPr>
        <w:t>„Portfelinės garantijos 3“ priemonė leidžia SVV gauti finansavimą investicijoms ir apyvartinėms lėšoms, taikant mažesnius užstato reikalavimus. Priemonė taikoma SVV subjektams, kurių darbuotojų skaičius nesiekia 250, o metinė apyvarta neviršija 50 mln. eurų ir / arba įmonės balanse nurodyto viso turto vertė nėra didesnė nei 43 mln. eurų. </w:t>
      </w:r>
    </w:p>
    <w:p w14:paraId="1AB1F345" w14:textId="77777777" w:rsidR="004C1A07" w:rsidRPr="00AF2301" w:rsidRDefault="004C1A07" w:rsidP="00AF2301">
      <w:pPr>
        <w:rPr>
          <w:rFonts w:eastAsia="Times New Roman"/>
          <w:kern w:val="0"/>
          <w:lang w:val="lt-LT" w:eastAsia="en-GB"/>
          <w14:ligatures w14:val="none"/>
        </w:rPr>
      </w:pPr>
    </w:p>
    <w:p w14:paraId="06B3880C" w14:textId="77777777" w:rsidR="0049489E" w:rsidRPr="00AF2301" w:rsidRDefault="0049489E" w:rsidP="71CF95CF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sectPr w:rsidR="0049489E" w:rsidRPr="00AF2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F3"/>
    <w:rsid w:val="000059B5"/>
    <w:rsid w:val="000410F1"/>
    <w:rsid w:val="00053EFA"/>
    <w:rsid w:val="000621B4"/>
    <w:rsid w:val="000A00A5"/>
    <w:rsid w:val="000C35DE"/>
    <w:rsid w:val="000D0871"/>
    <w:rsid w:val="000D3E59"/>
    <w:rsid w:val="000F4028"/>
    <w:rsid w:val="00130CC2"/>
    <w:rsid w:val="00144AD4"/>
    <w:rsid w:val="0015467E"/>
    <w:rsid w:val="001A538B"/>
    <w:rsid w:val="001A791D"/>
    <w:rsid w:val="001E3EE0"/>
    <w:rsid w:val="001F68D9"/>
    <w:rsid w:val="002B2550"/>
    <w:rsid w:val="002B4A41"/>
    <w:rsid w:val="002B545D"/>
    <w:rsid w:val="003150E9"/>
    <w:rsid w:val="00367E97"/>
    <w:rsid w:val="00370EBE"/>
    <w:rsid w:val="00386465"/>
    <w:rsid w:val="003B732F"/>
    <w:rsid w:val="003C13B1"/>
    <w:rsid w:val="003F1D36"/>
    <w:rsid w:val="003F5FCF"/>
    <w:rsid w:val="00420152"/>
    <w:rsid w:val="00434ECA"/>
    <w:rsid w:val="00454767"/>
    <w:rsid w:val="00454AD4"/>
    <w:rsid w:val="004835B0"/>
    <w:rsid w:val="0049489E"/>
    <w:rsid w:val="004952D0"/>
    <w:rsid w:val="004C1A07"/>
    <w:rsid w:val="005E4FC9"/>
    <w:rsid w:val="006E547D"/>
    <w:rsid w:val="007013E2"/>
    <w:rsid w:val="007756CF"/>
    <w:rsid w:val="007A4601"/>
    <w:rsid w:val="007E3922"/>
    <w:rsid w:val="00822151"/>
    <w:rsid w:val="00840A21"/>
    <w:rsid w:val="00897C77"/>
    <w:rsid w:val="008A762A"/>
    <w:rsid w:val="008D096B"/>
    <w:rsid w:val="008D5814"/>
    <w:rsid w:val="008D58E1"/>
    <w:rsid w:val="008F0554"/>
    <w:rsid w:val="009055B6"/>
    <w:rsid w:val="00907D27"/>
    <w:rsid w:val="0094257C"/>
    <w:rsid w:val="00957EF2"/>
    <w:rsid w:val="009720FF"/>
    <w:rsid w:val="00973D3F"/>
    <w:rsid w:val="00995AC3"/>
    <w:rsid w:val="009A3E1D"/>
    <w:rsid w:val="009A6675"/>
    <w:rsid w:val="009A6D2E"/>
    <w:rsid w:val="009B4F1B"/>
    <w:rsid w:val="009F60AF"/>
    <w:rsid w:val="00A77481"/>
    <w:rsid w:val="00AA606B"/>
    <w:rsid w:val="00AF2301"/>
    <w:rsid w:val="00AF70D2"/>
    <w:rsid w:val="00B04C98"/>
    <w:rsid w:val="00B2468E"/>
    <w:rsid w:val="00B6581F"/>
    <w:rsid w:val="00B742FA"/>
    <w:rsid w:val="00B956AF"/>
    <w:rsid w:val="00BA1688"/>
    <w:rsid w:val="00C155F3"/>
    <w:rsid w:val="00C24A77"/>
    <w:rsid w:val="00C41AF9"/>
    <w:rsid w:val="00C81323"/>
    <w:rsid w:val="00C91C83"/>
    <w:rsid w:val="00CD1EAA"/>
    <w:rsid w:val="00CD4C76"/>
    <w:rsid w:val="00CD53C6"/>
    <w:rsid w:val="00CF51F5"/>
    <w:rsid w:val="00D16595"/>
    <w:rsid w:val="00D61C4C"/>
    <w:rsid w:val="00D847CB"/>
    <w:rsid w:val="00DE57AA"/>
    <w:rsid w:val="00DF05E6"/>
    <w:rsid w:val="00E5024C"/>
    <w:rsid w:val="00E866D0"/>
    <w:rsid w:val="00EC149C"/>
    <w:rsid w:val="00EF5591"/>
    <w:rsid w:val="00EF7A05"/>
    <w:rsid w:val="00F00184"/>
    <w:rsid w:val="00F132D5"/>
    <w:rsid w:val="00F3485C"/>
    <w:rsid w:val="00F64F7B"/>
    <w:rsid w:val="00F84CF4"/>
    <w:rsid w:val="00FB1F10"/>
    <w:rsid w:val="00FF4416"/>
    <w:rsid w:val="0117D2E6"/>
    <w:rsid w:val="036C6A3B"/>
    <w:rsid w:val="0899B8CD"/>
    <w:rsid w:val="0C26E8D0"/>
    <w:rsid w:val="0DBBAECB"/>
    <w:rsid w:val="0DC0D682"/>
    <w:rsid w:val="0E1898CB"/>
    <w:rsid w:val="1245281A"/>
    <w:rsid w:val="1535B541"/>
    <w:rsid w:val="185246CE"/>
    <w:rsid w:val="1A5A16E2"/>
    <w:rsid w:val="1AD93401"/>
    <w:rsid w:val="1B6DB800"/>
    <w:rsid w:val="1BC09F62"/>
    <w:rsid w:val="1D26241B"/>
    <w:rsid w:val="1D68642F"/>
    <w:rsid w:val="21F4800E"/>
    <w:rsid w:val="222EF7D6"/>
    <w:rsid w:val="2242587D"/>
    <w:rsid w:val="23562351"/>
    <w:rsid w:val="2C82A818"/>
    <w:rsid w:val="2D517BEF"/>
    <w:rsid w:val="30E8EB39"/>
    <w:rsid w:val="3160D658"/>
    <w:rsid w:val="345E550A"/>
    <w:rsid w:val="3512C528"/>
    <w:rsid w:val="3F67B5CD"/>
    <w:rsid w:val="3FECC939"/>
    <w:rsid w:val="46F4B4DD"/>
    <w:rsid w:val="47C18A5A"/>
    <w:rsid w:val="4A41D3F4"/>
    <w:rsid w:val="4AFA5F52"/>
    <w:rsid w:val="4BE95459"/>
    <w:rsid w:val="4F0365BA"/>
    <w:rsid w:val="511200E5"/>
    <w:rsid w:val="53D27E48"/>
    <w:rsid w:val="550FD151"/>
    <w:rsid w:val="585B9ACB"/>
    <w:rsid w:val="589730C6"/>
    <w:rsid w:val="597916D3"/>
    <w:rsid w:val="5A73E73B"/>
    <w:rsid w:val="5C580F2C"/>
    <w:rsid w:val="5DFC9974"/>
    <w:rsid w:val="61695D6C"/>
    <w:rsid w:val="61F98105"/>
    <w:rsid w:val="62299FFE"/>
    <w:rsid w:val="676A4BE3"/>
    <w:rsid w:val="67F2BA43"/>
    <w:rsid w:val="69823116"/>
    <w:rsid w:val="6B39DD4B"/>
    <w:rsid w:val="6C24C623"/>
    <w:rsid w:val="6F28A91B"/>
    <w:rsid w:val="70E41577"/>
    <w:rsid w:val="71CF95CF"/>
    <w:rsid w:val="763CF42E"/>
    <w:rsid w:val="76F2CD1E"/>
    <w:rsid w:val="771A94A6"/>
    <w:rsid w:val="7931CA51"/>
    <w:rsid w:val="7ABAE5B8"/>
    <w:rsid w:val="7B57124E"/>
    <w:rsid w:val="7ECFD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43D0"/>
  <w15:chartTrackingRefBased/>
  <w15:docId w15:val="{061A5C75-D9F7-4A2C-AD2C-A2569ABC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5F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55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55F3"/>
  </w:style>
  <w:style w:type="paragraph" w:styleId="Revision">
    <w:name w:val="Revision"/>
    <w:hidden/>
    <w:uiPriority w:val="99"/>
    <w:semiHidden/>
    <w:rsid w:val="000D3E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5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4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te.lt/ilte-finansavimo-partneriai-pg3/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Radžiūnė</dc:creator>
  <cp:keywords/>
  <dc:description/>
  <cp:lastModifiedBy>Viktorija Voroncova</cp:lastModifiedBy>
  <cp:revision>2</cp:revision>
  <dcterms:created xsi:type="dcterms:W3CDTF">2025-11-27T09:52:00Z</dcterms:created>
  <dcterms:modified xsi:type="dcterms:W3CDTF">2025-11-27T09:52:00Z</dcterms:modified>
</cp:coreProperties>
</file>