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FABC5" w14:textId="42A24541" w:rsidR="001E7F83" w:rsidRPr="001E7F83" w:rsidRDefault="08DB6750" w:rsidP="001E7F83">
      <w:pPr>
        <w:jc w:val="both"/>
        <w:rPr>
          <w:rFonts w:ascii="Arial" w:hAnsi="Arial" w:cs="Arial"/>
          <w:b/>
          <w:bCs/>
          <w:sz w:val="22"/>
          <w:szCs w:val="22"/>
          <w:lang w:val="en-US"/>
        </w:rPr>
      </w:pPr>
      <w:r w:rsidRPr="08DB6750">
        <w:rPr>
          <w:rFonts w:ascii="Arial" w:hAnsi="Arial" w:cs="Arial"/>
          <w:b/>
          <w:bCs/>
          <w:sz w:val="22"/>
          <w:szCs w:val="22"/>
        </w:rPr>
        <w:t>Indėliai Lietuvoje: vienas iš penkių apklaustųjų lieka ištikimas savo bankui, trečdalis „medžioja“ geresnes palūkanas</w:t>
      </w:r>
    </w:p>
    <w:p w14:paraId="4E4D5DA9" w14:textId="77777777" w:rsidR="001E7F83" w:rsidRPr="001E7F83" w:rsidRDefault="08DB6750" w:rsidP="001E7F83">
      <w:pPr>
        <w:jc w:val="both"/>
        <w:rPr>
          <w:rFonts w:ascii="Arial" w:hAnsi="Arial" w:cs="Arial"/>
          <w:b/>
          <w:bCs/>
          <w:sz w:val="22"/>
          <w:szCs w:val="22"/>
          <w:lang w:val="en-US"/>
        </w:rPr>
      </w:pPr>
      <w:r w:rsidRPr="08DB6750">
        <w:rPr>
          <w:rFonts w:ascii="Arial" w:hAnsi="Arial" w:cs="Arial"/>
          <w:b/>
          <w:bCs/>
          <w:sz w:val="22"/>
          <w:szCs w:val="22"/>
        </w:rPr>
        <w:t>Nauja apklausa atskleidė, kad daugiau nei trečdalis, arba 36 proc. Lietuvos gyventojų yra bent kartą svarstę apie turimo indėlio perkėlimą į kitą banką ar kredito įstaigą dėl didesnių palūkanų. Dalis jų tokį sprendimą jau ir įgyvendino. </w:t>
      </w:r>
      <w:r w:rsidRPr="08DB6750">
        <w:rPr>
          <w:rFonts w:ascii="Arial" w:hAnsi="Arial" w:cs="Arial"/>
          <w:b/>
          <w:bCs/>
          <w:sz w:val="22"/>
          <w:szCs w:val="22"/>
          <w:lang w:val="en-US"/>
        </w:rPr>
        <w:t> </w:t>
      </w:r>
    </w:p>
    <w:p w14:paraId="79705490" w14:textId="1D20A86F" w:rsidR="001E7F83" w:rsidRPr="001E7F83" w:rsidRDefault="08DB6750" w:rsidP="08DB6750">
      <w:pPr>
        <w:jc w:val="both"/>
        <w:rPr>
          <w:rFonts w:ascii="Arial" w:hAnsi="Arial" w:cs="Arial"/>
          <w:sz w:val="22"/>
          <w:szCs w:val="22"/>
          <w:lang w:val="en-US"/>
        </w:rPr>
      </w:pPr>
      <w:r w:rsidRPr="08DB6750">
        <w:rPr>
          <w:rFonts w:ascii="Arial" w:hAnsi="Arial" w:cs="Arial"/>
          <w:sz w:val="22"/>
          <w:szCs w:val="22"/>
        </w:rPr>
        <w:t>„Urbo“ banko užsakymu bendrovės „</w:t>
      </w:r>
      <w:proofErr w:type="spellStart"/>
      <w:r w:rsidRPr="08DB6750">
        <w:rPr>
          <w:rFonts w:ascii="Arial" w:hAnsi="Arial" w:cs="Arial"/>
          <w:sz w:val="22"/>
          <w:szCs w:val="22"/>
        </w:rPr>
        <w:t>Spinter</w:t>
      </w:r>
      <w:proofErr w:type="spellEnd"/>
      <w:r w:rsidRPr="08DB6750">
        <w:rPr>
          <w:rFonts w:ascii="Arial" w:hAnsi="Arial" w:cs="Arial"/>
          <w:sz w:val="22"/>
          <w:szCs w:val="22"/>
        </w:rPr>
        <w:t xml:space="preserve"> tyrimai“ liepos pabaigoje atlikta apklausa parodė, kad 12 proc. respondentų yra perkėlę savo turimą indėlį, o dar 15 proc., nors ir svarstė, tokio sprendimo kol kas nepriėmė. 9 proc. respondentų šią galimybę yra svarstę, tačiau nusprendė likti tame pačiame banke ar kredito įstaigoje. </w:t>
      </w:r>
      <w:r w:rsidRPr="08DB6750">
        <w:rPr>
          <w:rFonts w:ascii="Arial" w:hAnsi="Arial" w:cs="Arial"/>
          <w:sz w:val="22"/>
          <w:szCs w:val="22"/>
          <w:lang w:val="en-US"/>
        </w:rPr>
        <w:t> </w:t>
      </w:r>
    </w:p>
    <w:p w14:paraId="13F9FEA1" w14:textId="39C8D63F" w:rsidR="001E7F83" w:rsidRPr="001E7F83" w:rsidRDefault="08DB6750" w:rsidP="001E7F83">
      <w:pPr>
        <w:jc w:val="both"/>
        <w:rPr>
          <w:rFonts w:ascii="Arial" w:hAnsi="Arial" w:cs="Arial"/>
          <w:sz w:val="22"/>
          <w:szCs w:val="22"/>
          <w:lang w:val="en-US"/>
        </w:rPr>
      </w:pPr>
      <w:r w:rsidRPr="08DB6750">
        <w:rPr>
          <w:rFonts w:ascii="Arial" w:hAnsi="Arial" w:cs="Arial"/>
          <w:sz w:val="22"/>
          <w:szCs w:val="22"/>
        </w:rPr>
        <w:t>„Apie indėlio perkėlimą į kitą banką ar kredito įstaigą dažniau svarsto aukštesnio išsilavinimo ir didesnių pajamų respondentai. Pavyzdžiui, tarp turinčiųjų aukštąjį išsilavinimą indėlį yra perkėlę 14,6 proc., o dar daugiau nei penktadalis, arba 22,4 proc. apie tai bent galvojo. Tarp neturinčiųjų vidurinio išsilavinimo tokių respondentų yra gerokai mažiau – atitinkamai 1,8 ir 7,3 proc.“, – pasakoja „Urbo“ banko Verslo tarnybos direktorius Julius Ivaška. </w:t>
      </w:r>
      <w:r w:rsidRPr="08DB6750">
        <w:rPr>
          <w:rFonts w:ascii="Arial" w:hAnsi="Arial" w:cs="Arial"/>
          <w:sz w:val="22"/>
          <w:szCs w:val="22"/>
          <w:lang w:val="en-US"/>
        </w:rPr>
        <w:t> </w:t>
      </w:r>
    </w:p>
    <w:p w14:paraId="78AA1431" w14:textId="1817266A" w:rsidR="001E7F83" w:rsidRPr="001E7F83" w:rsidRDefault="23CEAACA" w:rsidP="001E7F83">
      <w:pPr>
        <w:jc w:val="both"/>
        <w:rPr>
          <w:rFonts w:ascii="Arial" w:hAnsi="Arial" w:cs="Arial"/>
          <w:sz w:val="22"/>
          <w:szCs w:val="22"/>
          <w:lang w:val="en-US"/>
        </w:rPr>
      </w:pPr>
      <w:r w:rsidRPr="23CEAACA">
        <w:rPr>
          <w:rFonts w:ascii="Arial" w:hAnsi="Arial" w:cs="Arial"/>
          <w:sz w:val="22"/>
          <w:szCs w:val="22"/>
        </w:rPr>
        <w:t>Apklausos rezultatai parodė, kad aktyvesni šiuo klausimu taip pat yra ir daugiau uždirbantys asmenys. Pavyzdžiui, tarp gaunančiųjų daugiau nei 1000 eurų per mėnesį respondentų net 17,2 proc. indėlį jau perkėlė, o 26 proc. yra apie tai svarstę. Iš gaunančiųjų mažesnes nei 400 eurų pajamas indėlį perkėlę yra 11,5 proc., apie tai svarstę – 13,5 proc. respondentų. </w:t>
      </w:r>
      <w:r w:rsidRPr="23CEAACA">
        <w:rPr>
          <w:rFonts w:ascii="Arial" w:hAnsi="Arial" w:cs="Arial"/>
          <w:sz w:val="22"/>
          <w:szCs w:val="22"/>
          <w:lang w:val="en-US"/>
        </w:rPr>
        <w:t> </w:t>
      </w:r>
    </w:p>
    <w:p w14:paraId="2FD5945D" w14:textId="0B6D6B40" w:rsidR="001E7F83" w:rsidRPr="001E7F83" w:rsidRDefault="23CEAACA" w:rsidP="001E7F83">
      <w:pPr>
        <w:jc w:val="both"/>
        <w:rPr>
          <w:rFonts w:ascii="Arial" w:hAnsi="Arial" w:cs="Arial"/>
          <w:sz w:val="22"/>
          <w:szCs w:val="22"/>
          <w:lang w:val="en-US"/>
        </w:rPr>
      </w:pPr>
      <w:r w:rsidRPr="23CEAACA">
        <w:rPr>
          <w:rFonts w:ascii="Arial" w:hAnsi="Arial" w:cs="Arial"/>
          <w:sz w:val="22"/>
          <w:szCs w:val="22"/>
        </w:rPr>
        <w:t>Perkelti turimą indėlį dažniau svarsto 26–35 metų Lietuvos gyventojai – beveik penktadalis, arba 19,2 proc. šios amžiaus grupės apklaustųjų. Realių veiksmų dažniausiai imasi vyresni nei 56 metų respondentai – net 13,8 proc. jų indėlį jau yra perkėlę. Kitose amžiaus grupėse tokių respondentų dalis svyruoja tarp 9 ir 12 proc. </w:t>
      </w:r>
      <w:r w:rsidRPr="23CEAACA">
        <w:rPr>
          <w:rFonts w:ascii="Arial" w:hAnsi="Arial" w:cs="Arial"/>
          <w:sz w:val="22"/>
          <w:szCs w:val="22"/>
          <w:lang w:val="en-US"/>
        </w:rPr>
        <w:t> </w:t>
      </w:r>
    </w:p>
    <w:p w14:paraId="2FA9714D" w14:textId="77777777" w:rsidR="001E7F83" w:rsidRPr="001E7F83" w:rsidRDefault="001E7F83" w:rsidP="001E7F83">
      <w:pPr>
        <w:jc w:val="both"/>
        <w:rPr>
          <w:rFonts w:ascii="Arial" w:hAnsi="Arial" w:cs="Arial"/>
          <w:b/>
          <w:bCs/>
          <w:sz w:val="22"/>
          <w:szCs w:val="22"/>
          <w:lang w:val="en-US"/>
        </w:rPr>
      </w:pPr>
      <w:r w:rsidRPr="001E7F83">
        <w:rPr>
          <w:rFonts w:ascii="Arial" w:hAnsi="Arial" w:cs="Arial"/>
          <w:b/>
          <w:bCs/>
          <w:sz w:val="22"/>
          <w:szCs w:val="22"/>
        </w:rPr>
        <w:t>Vienas iš penkių – ištikimas savo bankui </w:t>
      </w:r>
      <w:r w:rsidRPr="001E7F83">
        <w:rPr>
          <w:rFonts w:ascii="Arial" w:hAnsi="Arial" w:cs="Arial"/>
          <w:b/>
          <w:bCs/>
          <w:sz w:val="22"/>
          <w:szCs w:val="22"/>
          <w:lang w:val="en-US"/>
        </w:rPr>
        <w:t> </w:t>
      </w:r>
    </w:p>
    <w:p w14:paraId="126C75AF" w14:textId="70A258CD" w:rsidR="001E7F83" w:rsidRPr="001E7F83" w:rsidRDefault="001E7F83" w:rsidP="001E7F83">
      <w:pPr>
        <w:jc w:val="both"/>
        <w:rPr>
          <w:rFonts w:ascii="Arial" w:hAnsi="Arial" w:cs="Arial"/>
          <w:sz w:val="22"/>
          <w:szCs w:val="22"/>
          <w:lang w:val="en-US"/>
        </w:rPr>
      </w:pPr>
      <w:r w:rsidRPr="001E7F83">
        <w:rPr>
          <w:rFonts w:ascii="Arial" w:hAnsi="Arial" w:cs="Arial"/>
          <w:sz w:val="22"/>
          <w:szCs w:val="22"/>
        </w:rPr>
        <w:t xml:space="preserve">Lygiai penktadalis apklaustųjų taip pat nurodė, kad indėlio perkėlimo nesvarstė, nes visus savo finansinius reikalus tvarko vienoje finansų įstaigoje. Didesnis lojalumas savo bankui ar kredito įstaigai fiksuojamas tarp moterų (23,1 proc.), palyginti su vyrais (17,2 proc.) ir tarp vyresnių respondentų. Jei tarp jauniausių, 18–25 m. amžiaus apklaustųjų tokių yra tik vienas iš dešimties, tai 36–45 m. amžiaus grupėje jų dalis jau siekia 17,9 proc. </w:t>
      </w:r>
      <w:r>
        <w:rPr>
          <w:rFonts w:ascii="Arial" w:hAnsi="Arial" w:cs="Arial"/>
          <w:sz w:val="22"/>
          <w:szCs w:val="22"/>
        </w:rPr>
        <w:t>T</w:t>
      </w:r>
      <w:r w:rsidRPr="001E7F83">
        <w:rPr>
          <w:rFonts w:ascii="Arial" w:hAnsi="Arial" w:cs="Arial"/>
          <w:sz w:val="22"/>
          <w:szCs w:val="22"/>
        </w:rPr>
        <w:t>arp 56 m. ir vyresnių respondentų visus reikalus viename banke tvarkosi daugiau nei ketvirtadalis, arba 26,4 proc. respondentų. </w:t>
      </w:r>
      <w:r w:rsidRPr="001E7F83">
        <w:rPr>
          <w:rFonts w:ascii="Arial" w:hAnsi="Arial" w:cs="Arial"/>
          <w:sz w:val="22"/>
          <w:szCs w:val="22"/>
          <w:lang w:val="en-US"/>
        </w:rPr>
        <w:t> </w:t>
      </w:r>
    </w:p>
    <w:p w14:paraId="65EB84D3" w14:textId="461C8FAC" w:rsidR="001E7F83" w:rsidRPr="001E7F83" w:rsidRDefault="001E7F83" w:rsidP="001E7F83">
      <w:pPr>
        <w:jc w:val="both"/>
        <w:rPr>
          <w:rFonts w:ascii="Arial" w:hAnsi="Arial" w:cs="Arial"/>
          <w:sz w:val="22"/>
          <w:szCs w:val="22"/>
        </w:rPr>
      </w:pPr>
      <w:r w:rsidRPr="001E7F83">
        <w:rPr>
          <w:rFonts w:ascii="Arial" w:hAnsi="Arial" w:cs="Arial"/>
          <w:sz w:val="22"/>
          <w:szCs w:val="22"/>
        </w:rPr>
        <w:t>Tokia pat dalis – apie 26 proc. visų apklaustųjų – prisipažino indėlio apskritai neturintys. Daugiausiai tokių yra tarp jauniausių, 18–25 metų respondentų. Iš jų indėlio neturintys nurodė daugiau nei pusė, arba 56,2 proc. Tokių respondentų procentas didesnis ir tarp vienišų žmonių – iš jų indėlio neturi daugiau nei trečdalis, arba 37,5 proc. apklaustųjų. Iš sukūrusiųjų šeimą ar gyvenančių su partneriu respondentų indėlio neturi tik maždaug vienas iš penkių Lietuvos gyventojų. Didesnė dalis indėlio neturinčiųjų yra tarp vyrų (28,2 proc.), palyginti su moterimis (24 proc.). </w:t>
      </w:r>
      <w:r w:rsidRPr="001E7F83">
        <w:rPr>
          <w:rFonts w:ascii="Arial" w:hAnsi="Arial" w:cs="Arial"/>
          <w:sz w:val="22"/>
          <w:szCs w:val="22"/>
          <w:lang w:val="en-US"/>
        </w:rPr>
        <w:t> </w:t>
      </w:r>
    </w:p>
    <w:p w14:paraId="17539315" w14:textId="77777777" w:rsidR="001E7F83" w:rsidRPr="001E7F83" w:rsidRDefault="001E7F83" w:rsidP="001E7F83">
      <w:pPr>
        <w:jc w:val="both"/>
        <w:rPr>
          <w:rFonts w:ascii="Arial" w:hAnsi="Arial" w:cs="Arial"/>
          <w:b/>
          <w:bCs/>
          <w:sz w:val="22"/>
          <w:szCs w:val="22"/>
          <w:lang w:val="en-US"/>
        </w:rPr>
      </w:pPr>
      <w:r w:rsidRPr="001E7F83">
        <w:rPr>
          <w:rFonts w:ascii="Arial" w:hAnsi="Arial" w:cs="Arial"/>
          <w:b/>
          <w:bCs/>
          <w:sz w:val="22"/>
          <w:szCs w:val="22"/>
        </w:rPr>
        <w:t xml:space="preserve">Žmonėms svarbi ne tik finansinė nauda </w:t>
      </w:r>
      <w:r w:rsidRPr="001E7F83">
        <w:rPr>
          <w:rFonts w:ascii="Arial" w:hAnsi="Arial" w:cs="Arial"/>
          <w:b/>
          <w:bCs/>
          <w:sz w:val="22"/>
          <w:szCs w:val="22"/>
          <w:lang w:val="en-US"/>
        </w:rPr>
        <w:t> </w:t>
      </w:r>
    </w:p>
    <w:p w14:paraId="7C3E4CD7" w14:textId="77777777" w:rsidR="001E7F83" w:rsidRPr="001E7F83" w:rsidRDefault="001E7F83" w:rsidP="001E7F83">
      <w:pPr>
        <w:jc w:val="both"/>
        <w:rPr>
          <w:rFonts w:ascii="Arial" w:hAnsi="Arial" w:cs="Arial"/>
          <w:sz w:val="22"/>
          <w:szCs w:val="22"/>
          <w:lang w:val="en-US"/>
        </w:rPr>
      </w:pPr>
      <w:r w:rsidRPr="001E7F83">
        <w:rPr>
          <w:rFonts w:ascii="Arial" w:hAnsi="Arial" w:cs="Arial"/>
          <w:sz w:val="22"/>
          <w:szCs w:val="22"/>
        </w:rPr>
        <w:t>Apklausos rezultatai parodė, kad, nors didesnės indėlio palūkanos turi įtakos žmonių pasirinkimui ir finansiniams sprendimams, ne paskutinėje vietoje yra ir lojalumas bei pasitikėjimas savo banku. </w:t>
      </w:r>
      <w:r w:rsidRPr="001E7F83">
        <w:rPr>
          <w:rFonts w:ascii="Arial" w:hAnsi="Arial" w:cs="Arial"/>
          <w:sz w:val="22"/>
          <w:szCs w:val="22"/>
          <w:lang w:val="en-US"/>
        </w:rPr>
        <w:t> </w:t>
      </w:r>
    </w:p>
    <w:p w14:paraId="7D16C77E" w14:textId="77777777" w:rsidR="001E7F83" w:rsidRPr="001E7F83" w:rsidRDefault="08DB6750" w:rsidP="001E7F83">
      <w:pPr>
        <w:jc w:val="both"/>
        <w:rPr>
          <w:rFonts w:ascii="Arial" w:hAnsi="Arial" w:cs="Arial"/>
          <w:sz w:val="22"/>
          <w:szCs w:val="22"/>
          <w:lang w:val="en-US"/>
        </w:rPr>
      </w:pPr>
      <w:r w:rsidRPr="08DB6750">
        <w:rPr>
          <w:rFonts w:ascii="Arial" w:hAnsi="Arial" w:cs="Arial"/>
          <w:sz w:val="22"/>
          <w:szCs w:val="22"/>
        </w:rPr>
        <w:lastRenderedPageBreak/>
        <w:t>„Iš savo pačių kasdienybės ir bendravimo su klientais esame pastebėję, kad žmonės dažnai vertina ne tik galimą finansinę naudą, bet ir patogumą visus reikalus tvarkant vienoje vietoje bei pasitikėjimą seniai pažįstamu banko darbuotoju“, – dėmesį atkreipia J. Ivaška. </w:t>
      </w:r>
      <w:r w:rsidRPr="08DB6750">
        <w:rPr>
          <w:rFonts w:ascii="Arial" w:hAnsi="Arial" w:cs="Arial"/>
          <w:sz w:val="22"/>
          <w:szCs w:val="22"/>
          <w:lang w:val="en-US"/>
        </w:rPr>
        <w:t> </w:t>
      </w:r>
    </w:p>
    <w:p w14:paraId="4B7E4687" w14:textId="3FED4CF6" w:rsidR="08DB6750" w:rsidRDefault="08DB6750" w:rsidP="08DB6750">
      <w:pPr>
        <w:jc w:val="both"/>
        <w:rPr>
          <w:rFonts w:ascii="Arial" w:hAnsi="Arial" w:cs="Arial"/>
          <w:sz w:val="22"/>
          <w:szCs w:val="22"/>
        </w:rPr>
      </w:pPr>
      <w:r w:rsidRPr="08DB6750">
        <w:rPr>
          <w:rFonts w:ascii="Arial" w:hAnsi="Arial" w:cs="Arial"/>
          <w:sz w:val="22"/>
          <w:szCs w:val="22"/>
        </w:rPr>
        <w:t>Lietuvos banko duomenimis, liepos pabaigoje mūsų šalies gyventojai iš viso buvo padėję indėlių už beveik 26,5 mlrd. eurų sumą. Lyginant su 2024 m. liepos mėnesiu, ši suma išaugo beveik 13 proc. – tuomet ji siekė apie 23,5 mlrd. eurų. Naujų indėlių susitarimų šių metų liepos mėnesį fiksuota už beveik 611,5 mln. eurų, arba 14 proc. daugiau nei 2024-ųjų liepą (535,2 mln.). </w:t>
      </w:r>
      <w:r w:rsidRPr="08DB6750">
        <w:rPr>
          <w:rFonts w:ascii="Arial" w:hAnsi="Arial" w:cs="Arial"/>
          <w:sz w:val="22"/>
          <w:szCs w:val="22"/>
          <w:lang w:val="en-US"/>
        </w:rPr>
        <w:t> </w:t>
      </w:r>
    </w:p>
    <w:p w14:paraId="6DF0227C" w14:textId="77777777" w:rsidR="001E7F83" w:rsidRPr="001E7F83" w:rsidRDefault="001E7F83" w:rsidP="001E7F83">
      <w:pPr>
        <w:jc w:val="both"/>
        <w:rPr>
          <w:rFonts w:ascii="Arial" w:hAnsi="Arial" w:cs="Arial"/>
          <w:sz w:val="22"/>
          <w:szCs w:val="22"/>
          <w:lang w:val="en-US"/>
        </w:rPr>
      </w:pPr>
      <w:r w:rsidRPr="001E7F83">
        <w:rPr>
          <w:rFonts w:ascii="Arial" w:hAnsi="Arial" w:cs="Arial"/>
          <w:sz w:val="22"/>
          <w:szCs w:val="22"/>
        </w:rPr>
        <w:t>Visuomenės nuomonės tyrimų bendrovė „</w:t>
      </w:r>
      <w:proofErr w:type="spellStart"/>
      <w:r w:rsidRPr="001E7F83">
        <w:rPr>
          <w:rFonts w:ascii="Arial" w:hAnsi="Arial" w:cs="Arial"/>
          <w:sz w:val="22"/>
          <w:szCs w:val="22"/>
        </w:rPr>
        <w:t>Spinter</w:t>
      </w:r>
      <w:proofErr w:type="spellEnd"/>
      <w:r w:rsidRPr="001E7F83">
        <w:rPr>
          <w:rFonts w:ascii="Arial" w:hAnsi="Arial" w:cs="Arial"/>
          <w:sz w:val="22"/>
          <w:szCs w:val="22"/>
        </w:rPr>
        <w:t xml:space="preserve"> tyrimai“ Lietuvos gyventojus apie jų indėlio perkėlimą į kitą banką ar kredito įstaigą dėl didesnių palūkanų apklausė liepos 18-25 dienomis. Apklausoje dalyvavo 1009 respondentai iš visos Lietuvos, nuo 18 iki 75 metų amžiaus. </w:t>
      </w:r>
      <w:r w:rsidRPr="001E7F83">
        <w:rPr>
          <w:rFonts w:ascii="Arial" w:hAnsi="Arial" w:cs="Arial"/>
          <w:sz w:val="22"/>
          <w:szCs w:val="22"/>
          <w:lang w:val="en-US"/>
        </w:rPr>
        <w:t> </w:t>
      </w:r>
    </w:p>
    <w:p w14:paraId="74C511F8" w14:textId="2A251DEE" w:rsidR="002E5FB5" w:rsidRDefault="002E5FB5" w:rsidP="00F874A9">
      <w:pPr>
        <w:rPr>
          <w:rFonts w:ascii="Arial" w:hAnsi="Arial" w:cs="Arial"/>
          <w:sz w:val="20"/>
          <w:szCs w:val="20"/>
          <w:lang w:val="pt-PT"/>
        </w:rPr>
      </w:pPr>
      <w:r w:rsidRPr="002E5FB5">
        <w:rPr>
          <w:rFonts w:ascii="Arial" w:hAnsi="Arial" w:cs="Arial"/>
          <w:b/>
          <w:bCs/>
          <w:sz w:val="20"/>
          <w:szCs w:val="20"/>
        </w:rPr>
        <w:t>Daugiau informacijos:</w:t>
      </w:r>
      <w:r w:rsidRPr="002E5FB5">
        <w:rPr>
          <w:rFonts w:ascii="Arial" w:hAnsi="Arial" w:cs="Arial"/>
          <w:b/>
          <w:bCs/>
          <w:sz w:val="20"/>
          <w:szCs w:val="20"/>
        </w:rPr>
        <w:br/>
      </w:r>
      <w:r w:rsidR="006959C8">
        <w:rPr>
          <w:rFonts w:ascii="Arial" w:hAnsi="Arial" w:cs="Arial"/>
          <w:sz w:val="20"/>
          <w:szCs w:val="20"/>
        </w:rPr>
        <w:t>Beatričė Mikšytė</w:t>
      </w:r>
      <w:r>
        <w:rPr>
          <w:rFonts w:ascii="Arial" w:hAnsi="Arial" w:cs="Arial"/>
          <w:sz w:val="20"/>
          <w:szCs w:val="20"/>
        </w:rPr>
        <w:br/>
        <w:t>+370</w:t>
      </w:r>
      <w:r w:rsidR="006959C8">
        <w:rPr>
          <w:rFonts w:ascii="Arial" w:hAnsi="Arial" w:cs="Arial"/>
          <w:sz w:val="20"/>
          <w:szCs w:val="20"/>
        </w:rPr>
        <w:t> </w:t>
      </w:r>
      <w:r>
        <w:rPr>
          <w:rFonts w:ascii="Arial" w:hAnsi="Arial" w:cs="Arial"/>
          <w:sz w:val="20"/>
          <w:szCs w:val="20"/>
        </w:rPr>
        <w:t>6</w:t>
      </w:r>
      <w:r w:rsidR="006959C8">
        <w:rPr>
          <w:rFonts w:ascii="Arial" w:hAnsi="Arial" w:cs="Arial"/>
          <w:sz w:val="20"/>
          <w:szCs w:val="20"/>
        </w:rPr>
        <w:t>35 37 649</w:t>
      </w:r>
      <w:r>
        <w:rPr>
          <w:rFonts w:ascii="Arial" w:hAnsi="Arial" w:cs="Arial"/>
          <w:sz w:val="20"/>
          <w:szCs w:val="20"/>
          <w:lang w:val="pt-PT"/>
        </w:rPr>
        <w:br/>
      </w:r>
      <w:hyperlink r:id="rId7" w:history="1">
        <w:r w:rsidR="006959C8" w:rsidRPr="00FE0167">
          <w:rPr>
            <w:rStyle w:val="Hyperlink"/>
            <w:rFonts w:ascii="Arial" w:hAnsi="Arial" w:cs="Arial"/>
            <w:sz w:val="20"/>
            <w:szCs w:val="20"/>
            <w:lang w:val="pt-PT"/>
          </w:rPr>
          <w:t>beatrice@ideaprima.lt</w:t>
        </w:r>
      </w:hyperlink>
    </w:p>
    <w:p w14:paraId="4FC1A4FB" w14:textId="77777777" w:rsidR="002E5FB5" w:rsidRPr="00671295" w:rsidRDefault="002E5FB5" w:rsidP="00395C55">
      <w:pPr>
        <w:jc w:val="both"/>
        <w:rPr>
          <w:rFonts w:ascii="Arial" w:hAnsi="Arial" w:cs="Arial"/>
          <w:sz w:val="22"/>
          <w:szCs w:val="22"/>
        </w:rPr>
      </w:pPr>
    </w:p>
    <w:sectPr w:rsidR="002E5FB5" w:rsidRPr="00671295" w:rsidSect="00671295">
      <w:headerReference w:type="default" r:id="rId8"/>
      <w:pgSz w:w="11906" w:h="16838"/>
      <w:pgMar w:top="1701" w:right="991"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1417E" w14:textId="77777777" w:rsidR="00722817" w:rsidRDefault="00722817" w:rsidP="0080209C">
      <w:pPr>
        <w:spacing w:after="0" w:line="240" w:lineRule="auto"/>
      </w:pPr>
      <w:r>
        <w:separator/>
      </w:r>
    </w:p>
  </w:endnote>
  <w:endnote w:type="continuationSeparator" w:id="0">
    <w:p w14:paraId="2DF82745" w14:textId="77777777" w:rsidR="00722817" w:rsidRDefault="00722817" w:rsidP="00802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Poppins">
    <w:charset w:val="00"/>
    <w:family w:val="auto"/>
    <w:pitch w:val="variable"/>
    <w:sig w:usb0="00008007" w:usb1="00000000" w:usb2="00000000" w:usb3="00000000" w:csb0="00000093"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4E296" w14:textId="77777777" w:rsidR="00722817" w:rsidRDefault="00722817" w:rsidP="0080209C">
      <w:pPr>
        <w:spacing w:after="0" w:line="240" w:lineRule="auto"/>
      </w:pPr>
      <w:r>
        <w:separator/>
      </w:r>
    </w:p>
  </w:footnote>
  <w:footnote w:type="continuationSeparator" w:id="0">
    <w:p w14:paraId="01B65F32" w14:textId="77777777" w:rsidR="00722817" w:rsidRDefault="00722817" w:rsidP="008020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67D2D" w14:textId="77777777" w:rsidR="0080209C" w:rsidRPr="00191D29" w:rsidRDefault="0080209C" w:rsidP="0080209C">
    <w:pPr>
      <w:pStyle w:val="Header"/>
      <w:rPr>
        <w:rFonts w:asciiTheme="majorHAnsi" w:hAnsiTheme="majorHAnsi" w:cs="Poppins"/>
        <w:color w:val="808080" w:themeColor="background1" w:themeShade="80"/>
        <w:sz w:val="20"/>
        <w:szCs w:val="20"/>
      </w:rPr>
    </w:pPr>
    <w:r w:rsidRPr="00191D29">
      <w:rPr>
        <w:rFonts w:asciiTheme="majorHAnsi" w:hAnsiTheme="majorHAnsi" w:cs="Poppins"/>
        <w:noProof/>
        <w:color w:val="808080" w:themeColor="background1" w:themeShade="80"/>
        <w:sz w:val="20"/>
        <w:szCs w:val="20"/>
      </w:rPr>
      <w:drawing>
        <wp:anchor distT="0" distB="0" distL="114300" distR="114300" simplePos="0" relativeHeight="251658240" behindDoc="1" locked="0" layoutInCell="1" allowOverlap="1" wp14:anchorId="1988124A" wp14:editId="14326E23">
          <wp:simplePos x="0" y="0"/>
          <wp:positionH relativeFrom="margin">
            <wp:posOffset>4612005</wp:posOffset>
          </wp:positionH>
          <wp:positionV relativeFrom="paragraph">
            <wp:posOffset>10160</wp:posOffset>
          </wp:positionV>
          <wp:extent cx="1363980" cy="367165"/>
          <wp:effectExtent l="0" t="0" r="7620" b="0"/>
          <wp:wrapNone/>
          <wp:docPr id="58" name="Picture 1" descr="A green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1" descr="A green and black logo&#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63980" cy="367165"/>
                  </a:xfrm>
                  <a:prstGeom prst="rect">
                    <a:avLst/>
                  </a:prstGeom>
                </pic:spPr>
              </pic:pic>
            </a:graphicData>
          </a:graphic>
          <wp14:sizeRelH relativeFrom="margin">
            <wp14:pctWidth>0</wp14:pctWidth>
          </wp14:sizeRelH>
          <wp14:sizeRelV relativeFrom="margin">
            <wp14:pctHeight>0</wp14:pctHeight>
          </wp14:sizeRelV>
        </wp:anchor>
      </w:drawing>
    </w:r>
    <w:r w:rsidRPr="00191D29">
      <w:rPr>
        <w:rFonts w:asciiTheme="majorHAnsi" w:hAnsiTheme="majorHAnsi" w:cs="Poppins"/>
        <w:color w:val="808080" w:themeColor="background1" w:themeShade="80"/>
        <w:sz w:val="20"/>
        <w:szCs w:val="20"/>
      </w:rPr>
      <w:t>Pranešimas žiniasklaidai</w:t>
    </w:r>
  </w:p>
  <w:p w14:paraId="70BCE41D" w14:textId="5B6CCE7D" w:rsidR="0080209C" w:rsidRPr="00F36C0C" w:rsidRDefault="0080209C" w:rsidP="0080209C">
    <w:pPr>
      <w:pStyle w:val="Header"/>
      <w:rPr>
        <w:rFonts w:asciiTheme="majorHAnsi" w:hAnsiTheme="majorHAnsi" w:cs="Poppins"/>
        <w:color w:val="808080" w:themeColor="background1" w:themeShade="80"/>
        <w:sz w:val="20"/>
        <w:szCs w:val="20"/>
      </w:rPr>
    </w:pPr>
    <w:r w:rsidRPr="00191D29">
      <w:rPr>
        <w:rFonts w:asciiTheme="majorHAnsi" w:hAnsiTheme="majorHAnsi" w:cs="Poppins"/>
        <w:color w:val="808080" w:themeColor="background1" w:themeShade="80"/>
        <w:sz w:val="20"/>
        <w:szCs w:val="20"/>
      </w:rPr>
      <w:t xml:space="preserve">2025 m. </w:t>
    </w:r>
    <w:r w:rsidR="00A31B66">
      <w:rPr>
        <w:rFonts w:asciiTheme="majorHAnsi" w:hAnsiTheme="majorHAnsi" w:cs="Poppins"/>
        <w:color w:val="808080" w:themeColor="background1" w:themeShade="80"/>
        <w:sz w:val="20"/>
        <w:szCs w:val="20"/>
      </w:rPr>
      <w:t>rug</w:t>
    </w:r>
    <w:r w:rsidR="00FB707F">
      <w:rPr>
        <w:rFonts w:asciiTheme="majorHAnsi" w:hAnsiTheme="majorHAnsi" w:cs="Poppins"/>
        <w:color w:val="808080" w:themeColor="background1" w:themeShade="80"/>
        <w:sz w:val="20"/>
        <w:szCs w:val="20"/>
      </w:rPr>
      <w:t>sėjo</w:t>
    </w:r>
    <w:r w:rsidR="00FB707F">
      <w:rPr>
        <w:rFonts w:asciiTheme="majorHAnsi" w:hAnsiTheme="majorHAnsi" w:cs="Poppins"/>
        <w:color w:val="808080" w:themeColor="background1" w:themeShade="80"/>
        <w:sz w:val="20"/>
        <w:szCs w:val="20"/>
        <w:lang w:val="en-US"/>
      </w:rPr>
      <w:t xml:space="preserve"> </w:t>
    </w:r>
    <w:r w:rsidR="00EF6867">
      <w:rPr>
        <w:rFonts w:asciiTheme="majorHAnsi" w:hAnsiTheme="majorHAnsi" w:cs="Poppins"/>
        <w:color w:val="808080" w:themeColor="background1" w:themeShade="80"/>
        <w:sz w:val="20"/>
        <w:szCs w:val="20"/>
        <w:lang w:val="en-US"/>
      </w:rPr>
      <w:t>11</w:t>
    </w:r>
    <w:r w:rsidR="00C27434">
      <w:rPr>
        <w:rFonts w:asciiTheme="majorHAnsi" w:hAnsiTheme="majorHAnsi" w:cs="Poppins"/>
        <w:color w:val="808080" w:themeColor="background1" w:themeShade="80"/>
        <w:sz w:val="20"/>
        <w:szCs w:val="20"/>
        <w:lang w:val="en-US"/>
      </w:rPr>
      <w:t xml:space="preserve"> </w:t>
    </w:r>
    <w:r>
      <w:rPr>
        <w:rFonts w:asciiTheme="majorHAnsi" w:hAnsiTheme="majorHAnsi" w:cs="Poppins"/>
        <w:color w:val="808080" w:themeColor="background1" w:themeShade="80"/>
        <w:sz w:val="20"/>
        <w:szCs w:val="20"/>
      </w:rPr>
      <w:t>d</w:t>
    </w:r>
    <w:r w:rsidRPr="00191D29">
      <w:rPr>
        <w:rFonts w:asciiTheme="majorHAnsi" w:hAnsiTheme="majorHAnsi" w:cs="Poppins"/>
        <w:color w:val="808080" w:themeColor="background1" w:themeShade="80"/>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9935D8"/>
    <w:multiLevelType w:val="multilevel"/>
    <w:tmpl w:val="ABE28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68554E"/>
    <w:multiLevelType w:val="multilevel"/>
    <w:tmpl w:val="B484D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4684394">
    <w:abstractNumId w:val="0"/>
  </w:num>
  <w:num w:numId="2" w16cid:durableId="12630316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3E5"/>
    <w:rsid w:val="0000476C"/>
    <w:rsid w:val="00034CD9"/>
    <w:rsid w:val="00035F39"/>
    <w:rsid w:val="00047094"/>
    <w:rsid w:val="00051ABD"/>
    <w:rsid w:val="00052D29"/>
    <w:rsid w:val="00053FA7"/>
    <w:rsid w:val="0006398B"/>
    <w:rsid w:val="000748C3"/>
    <w:rsid w:val="00080FD2"/>
    <w:rsid w:val="0008154A"/>
    <w:rsid w:val="000823F6"/>
    <w:rsid w:val="00086E67"/>
    <w:rsid w:val="000A1147"/>
    <w:rsid w:val="000C5762"/>
    <w:rsid w:val="000D1EF3"/>
    <w:rsid w:val="000D3DA1"/>
    <w:rsid w:val="000E5B12"/>
    <w:rsid w:val="00105C81"/>
    <w:rsid w:val="00124F01"/>
    <w:rsid w:val="001250AF"/>
    <w:rsid w:val="0014124E"/>
    <w:rsid w:val="00141343"/>
    <w:rsid w:val="00150041"/>
    <w:rsid w:val="00171E5E"/>
    <w:rsid w:val="001770BB"/>
    <w:rsid w:val="001B31B5"/>
    <w:rsid w:val="001C2191"/>
    <w:rsid w:val="001D6334"/>
    <w:rsid w:val="001E5B77"/>
    <w:rsid w:val="001E7F83"/>
    <w:rsid w:val="001F65E7"/>
    <w:rsid w:val="001F6F96"/>
    <w:rsid w:val="002118CB"/>
    <w:rsid w:val="0023391E"/>
    <w:rsid w:val="0024380B"/>
    <w:rsid w:val="00274FA3"/>
    <w:rsid w:val="00287EFA"/>
    <w:rsid w:val="002A4844"/>
    <w:rsid w:val="002B20E4"/>
    <w:rsid w:val="002C1C70"/>
    <w:rsid w:val="002C555F"/>
    <w:rsid w:val="002D5C21"/>
    <w:rsid w:val="002D5D26"/>
    <w:rsid w:val="002E5FB5"/>
    <w:rsid w:val="00302011"/>
    <w:rsid w:val="00306FD6"/>
    <w:rsid w:val="003226E6"/>
    <w:rsid w:val="00324446"/>
    <w:rsid w:val="00336D98"/>
    <w:rsid w:val="003402F5"/>
    <w:rsid w:val="003518A6"/>
    <w:rsid w:val="003620C0"/>
    <w:rsid w:val="003636AB"/>
    <w:rsid w:val="0036776F"/>
    <w:rsid w:val="003818C9"/>
    <w:rsid w:val="003863DB"/>
    <w:rsid w:val="00386CB9"/>
    <w:rsid w:val="00395C55"/>
    <w:rsid w:val="003A4160"/>
    <w:rsid w:val="003C0FF9"/>
    <w:rsid w:val="003D0553"/>
    <w:rsid w:val="003E11DD"/>
    <w:rsid w:val="003F0CEC"/>
    <w:rsid w:val="003F6964"/>
    <w:rsid w:val="004023F1"/>
    <w:rsid w:val="00417F11"/>
    <w:rsid w:val="00420852"/>
    <w:rsid w:val="00423B66"/>
    <w:rsid w:val="00432CD5"/>
    <w:rsid w:val="00447B77"/>
    <w:rsid w:val="00481F37"/>
    <w:rsid w:val="00484731"/>
    <w:rsid w:val="004B3176"/>
    <w:rsid w:val="004C12DA"/>
    <w:rsid w:val="004D7E63"/>
    <w:rsid w:val="004E0762"/>
    <w:rsid w:val="004E3FA3"/>
    <w:rsid w:val="004F522F"/>
    <w:rsid w:val="005154AB"/>
    <w:rsid w:val="00536B1A"/>
    <w:rsid w:val="00545EF2"/>
    <w:rsid w:val="00561130"/>
    <w:rsid w:val="0057382D"/>
    <w:rsid w:val="00583756"/>
    <w:rsid w:val="00585AB3"/>
    <w:rsid w:val="0059339F"/>
    <w:rsid w:val="005A66EF"/>
    <w:rsid w:val="005C3A94"/>
    <w:rsid w:val="005D66B8"/>
    <w:rsid w:val="005E3AFF"/>
    <w:rsid w:val="006201D9"/>
    <w:rsid w:val="00631D23"/>
    <w:rsid w:val="006456A3"/>
    <w:rsid w:val="00671295"/>
    <w:rsid w:val="00671505"/>
    <w:rsid w:val="00686745"/>
    <w:rsid w:val="00687053"/>
    <w:rsid w:val="0069490F"/>
    <w:rsid w:val="006959C8"/>
    <w:rsid w:val="006B124E"/>
    <w:rsid w:val="006C00D0"/>
    <w:rsid w:val="006D3CD1"/>
    <w:rsid w:val="006D762C"/>
    <w:rsid w:val="006E12EE"/>
    <w:rsid w:val="006F65E4"/>
    <w:rsid w:val="00715E88"/>
    <w:rsid w:val="0072193E"/>
    <w:rsid w:val="00722817"/>
    <w:rsid w:val="00723D5E"/>
    <w:rsid w:val="00724FB2"/>
    <w:rsid w:val="007322B6"/>
    <w:rsid w:val="00734035"/>
    <w:rsid w:val="0074616D"/>
    <w:rsid w:val="00751EA4"/>
    <w:rsid w:val="0078751F"/>
    <w:rsid w:val="00790722"/>
    <w:rsid w:val="0079645D"/>
    <w:rsid w:val="007A00BB"/>
    <w:rsid w:val="007A76F4"/>
    <w:rsid w:val="007B57B4"/>
    <w:rsid w:val="007C7B60"/>
    <w:rsid w:val="007D5F8E"/>
    <w:rsid w:val="007F1220"/>
    <w:rsid w:val="0080209C"/>
    <w:rsid w:val="008032A1"/>
    <w:rsid w:val="0081180D"/>
    <w:rsid w:val="00827B46"/>
    <w:rsid w:val="008425F4"/>
    <w:rsid w:val="00855C8F"/>
    <w:rsid w:val="008649FB"/>
    <w:rsid w:val="008676FE"/>
    <w:rsid w:val="008863E5"/>
    <w:rsid w:val="008907E4"/>
    <w:rsid w:val="008A01CB"/>
    <w:rsid w:val="008A34D5"/>
    <w:rsid w:val="008A78C1"/>
    <w:rsid w:val="008C0886"/>
    <w:rsid w:val="008C4337"/>
    <w:rsid w:val="008D0255"/>
    <w:rsid w:val="008D0636"/>
    <w:rsid w:val="008E1477"/>
    <w:rsid w:val="008E1900"/>
    <w:rsid w:val="008F17E7"/>
    <w:rsid w:val="008F284F"/>
    <w:rsid w:val="008F3CA9"/>
    <w:rsid w:val="00912BAC"/>
    <w:rsid w:val="00921CA1"/>
    <w:rsid w:val="009239BC"/>
    <w:rsid w:val="00926ECF"/>
    <w:rsid w:val="00942EEF"/>
    <w:rsid w:val="009432C3"/>
    <w:rsid w:val="009471AA"/>
    <w:rsid w:val="00950366"/>
    <w:rsid w:val="0095374B"/>
    <w:rsid w:val="00965D01"/>
    <w:rsid w:val="00967BB2"/>
    <w:rsid w:val="009721CA"/>
    <w:rsid w:val="00983263"/>
    <w:rsid w:val="009B33F7"/>
    <w:rsid w:val="009B5EF9"/>
    <w:rsid w:val="009E0BB8"/>
    <w:rsid w:val="00A063FD"/>
    <w:rsid w:val="00A10036"/>
    <w:rsid w:val="00A1302F"/>
    <w:rsid w:val="00A21A1A"/>
    <w:rsid w:val="00A2649A"/>
    <w:rsid w:val="00A31B66"/>
    <w:rsid w:val="00A37263"/>
    <w:rsid w:val="00A462A8"/>
    <w:rsid w:val="00A54F02"/>
    <w:rsid w:val="00A75AE8"/>
    <w:rsid w:val="00A775F5"/>
    <w:rsid w:val="00A80B3F"/>
    <w:rsid w:val="00A97773"/>
    <w:rsid w:val="00AB3414"/>
    <w:rsid w:val="00AF06BA"/>
    <w:rsid w:val="00B12167"/>
    <w:rsid w:val="00B2116B"/>
    <w:rsid w:val="00B2184A"/>
    <w:rsid w:val="00B222B3"/>
    <w:rsid w:val="00B24039"/>
    <w:rsid w:val="00B268EA"/>
    <w:rsid w:val="00B74AD6"/>
    <w:rsid w:val="00B8407C"/>
    <w:rsid w:val="00B97354"/>
    <w:rsid w:val="00BB1200"/>
    <w:rsid w:val="00BD2C90"/>
    <w:rsid w:val="00BD6D67"/>
    <w:rsid w:val="00BF0DFD"/>
    <w:rsid w:val="00C05981"/>
    <w:rsid w:val="00C07685"/>
    <w:rsid w:val="00C16ECF"/>
    <w:rsid w:val="00C2571A"/>
    <w:rsid w:val="00C27434"/>
    <w:rsid w:val="00C30CCD"/>
    <w:rsid w:val="00C4656A"/>
    <w:rsid w:val="00C56EC1"/>
    <w:rsid w:val="00C65E75"/>
    <w:rsid w:val="00C6656E"/>
    <w:rsid w:val="00C67167"/>
    <w:rsid w:val="00C75C3A"/>
    <w:rsid w:val="00C8745D"/>
    <w:rsid w:val="00C87F1A"/>
    <w:rsid w:val="00CA0482"/>
    <w:rsid w:val="00CB5DF9"/>
    <w:rsid w:val="00CF17AD"/>
    <w:rsid w:val="00D01F54"/>
    <w:rsid w:val="00D176C3"/>
    <w:rsid w:val="00D24F6C"/>
    <w:rsid w:val="00D319D4"/>
    <w:rsid w:val="00D54917"/>
    <w:rsid w:val="00D82A6A"/>
    <w:rsid w:val="00D90C64"/>
    <w:rsid w:val="00DC5D33"/>
    <w:rsid w:val="00DE6FF0"/>
    <w:rsid w:val="00E0796A"/>
    <w:rsid w:val="00E140CD"/>
    <w:rsid w:val="00E24C81"/>
    <w:rsid w:val="00E26B15"/>
    <w:rsid w:val="00E346AD"/>
    <w:rsid w:val="00E467E8"/>
    <w:rsid w:val="00E54E70"/>
    <w:rsid w:val="00E5656D"/>
    <w:rsid w:val="00E56849"/>
    <w:rsid w:val="00E62A3D"/>
    <w:rsid w:val="00E97AF7"/>
    <w:rsid w:val="00EA18D8"/>
    <w:rsid w:val="00EB1F2C"/>
    <w:rsid w:val="00EC2A8C"/>
    <w:rsid w:val="00ED2EA0"/>
    <w:rsid w:val="00ED350D"/>
    <w:rsid w:val="00EF6867"/>
    <w:rsid w:val="00F11360"/>
    <w:rsid w:val="00F178A5"/>
    <w:rsid w:val="00F20642"/>
    <w:rsid w:val="00F4747A"/>
    <w:rsid w:val="00F5753C"/>
    <w:rsid w:val="00F60C7E"/>
    <w:rsid w:val="00F71A22"/>
    <w:rsid w:val="00F82E82"/>
    <w:rsid w:val="00F874A9"/>
    <w:rsid w:val="00F915EA"/>
    <w:rsid w:val="00FB707F"/>
    <w:rsid w:val="00FC5970"/>
    <w:rsid w:val="00FD7B70"/>
    <w:rsid w:val="00FE09B8"/>
    <w:rsid w:val="04E76FF6"/>
    <w:rsid w:val="08DB6750"/>
    <w:rsid w:val="098F04BE"/>
    <w:rsid w:val="23CEAACA"/>
    <w:rsid w:val="2F13C00B"/>
    <w:rsid w:val="43D7E3D5"/>
    <w:rsid w:val="51D16095"/>
    <w:rsid w:val="587F181A"/>
    <w:rsid w:val="68F4E10E"/>
    <w:rsid w:val="69E586CD"/>
    <w:rsid w:val="6B3CA1FE"/>
    <w:rsid w:val="73D7933E"/>
  </w:rsids>
  <m:mathPr>
    <m:mathFont m:val="Cambria Math"/>
    <m:brkBin m:val="before"/>
    <m:brkBinSub m:val="--"/>
    <m:smallFrac m:val="0"/>
    <m:dispDef/>
    <m:lMargin m:val="0"/>
    <m:rMargin m:val="0"/>
    <m:defJc m:val="centerGroup"/>
    <m:wrapIndent m:val="1440"/>
    <m:intLim m:val="subSup"/>
    <m:naryLim m:val="undOvr"/>
  </m:mathPr>
  <w:themeFontLang w:val="lt-LT"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8E578"/>
  <w15:chartTrackingRefBased/>
  <w15:docId w15:val="{9FF16CED-91D1-4957-881E-98315BF9D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63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63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63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63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63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63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63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63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63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63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63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63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63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63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63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63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63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63E5"/>
    <w:rPr>
      <w:rFonts w:eastAsiaTheme="majorEastAsia" w:cstheme="majorBidi"/>
      <w:color w:val="272727" w:themeColor="text1" w:themeTint="D8"/>
    </w:rPr>
  </w:style>
  <w:style w:type="paragraph" w:styleId="Title">
    <w:name w:val="Title"/>
    <w:basedOn w:val="Normal"/>
    <w:next w:val="Normal"/>
    <w:link w:val="TitleChar"/>
    <w:uiPriority w:val="10"/>
    <w:qFormat/>
    <w:rsid w:val="008863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63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63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63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63E5"/>
    <w:pPr>
      <w:spacing w:before="160"/>
      <w:jc w:val="center"/>
    </w:pPr>
    <w:rPr>
      <w:i/>
      <w:iCs/>
      <w:color w:val="404040" w:themeColor="text1" w:themeTint="BF"/>
    </w:rPr>
  </w:style>
  <w:style w:type="character" w:customStyle="1" w:styleId="QuoteChar">
    <w:name w:val="Quote Char"/>
    <w:basedOn w:val="DefaultParagraphFont"/>
    <w:link w:val="Quote"/>
    <w:uiPriority w:val="29"/>
    <w:rsid w:val="008863E5"/>
    <w:rPr>
      <w:i/>
      <w:iCs/>
      <w:color w:val="404040" w:themeColor="text1" w:themeTint="BF"/>
    </w:rPr>
  </w:style>
  <w:style w:type="paragraph" w:styleId="ListParagraph">
    <w:name w:val="List Paragraph"/>
    <w:basedOn w:val="Normal"/>
    <w:uiPriority w:val="34"/>
    <w:qFormat/>
    <w:rsid w:val="008863E5"/>
    <w:pPr>
      <w:ind w:left="720"/>
      <w:contextualSpacing/>
    </w:pPr>
  </w:style>
  <w:style w:type="character" w:styleId="IntenseEmphasis">
    <w:name w:val="Intense Emphasis"/>
    <w:basedOn w:val="DefaultParagraphFont"/>
    <w:uiPriority w:val="21"/>
    <w:qFormat/>
    <w:rsid w:val="008863E5"/>
    <w:rPr>
      <w:i/>
      <w:iCs/>
      <w:color w:val="0F4761" w:themeColor="accent1" w:themeShade="BF"/>
    </w:rPr>
  </w:style>
  <w:style w:type="paragraph" w:styleId="IntenseQuote">
    <w:name w:val="Intense Quote"/>
    <w:basedOn w:val="Normal"/>
    <w:next w:val="Normal"/>
    <w:link w:val="IntenseQuoteChar"/>
    <w:uiPriority w:val="30"/>
    <w:qFormat/>
    <w:rsid w:val="008863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63E5"/>
    <w:rPr>
      <w:i/>
      <w:iCs/>
      <w:color w:val="0F4761" w:themeColor="accent1" w:themeShade="BF"/>
    </w:rPr>
  </w:style>
  <w:style w:type="character" w:styleId="IntenseReference">
    <w:name w:val="Intense Reference"/>
    <w:basedOn w:val="DefaultParagraphFont"/>
    <w:uiPriority w:val="32"/>
    <w:qFormat/>
    <w:rsid w:val="008863E5"/>
    <w:rPr>
      <w:b/>
      <w:bCs/>
      <w:smallCaps/>
      <w:color w:val="0F4761" w:themeColor="accent1" w:themeShade="BF"/>
      <w:spacing w:val="5"/>
    </w:rPr>
  </w:style>
  <w:style w:type="character" w:styleId="CommentReference">
    <w:name w:val="annotation reference"/>
    <w:basedOn w:val="DefaultParagraphFont"/>
    <w:uiPriority w:val="99"/>
    <w:semiHidden/>
    <w:unhideWhenUsed/>
    <w:rsid w:val="00C07685"/>
    <w:rPr>
      <w:sz w:val="16"/>
      <w:szCs w:val="16"/>
    </w:rPr>
  </w:style>
  <w:style w:type="paragraph" w:styleId="CommentText">
    <w:name w:val="annotation text"/>
    <w:basedOn w:val="Normal"/>
    <w:link w:val="CommentTextChar"/>
    <w:uiPriority w:val="99"/>
    <w:unhideWhenUsed/>
    <w:rsid w:val="00C07685"/>
    <w:pPr>
      <w:spacing w:line="240" w:lineRule="auto"/>
    </w:pPr>
    <w:rPr>
      <w:sz w:val="20"/>
      <w:szCs w:val="20"/>
    </w:rPr>
  </w:style>
  <w:style w:type="character" w:customStyle="1" w:styleId="CommentTextChar">
    <w:name w:val="Comment Text Char"/>
    <w:basedOn w:val="DefaultParagraphFont"/>
    <w:link w:val="CommentText"/>
    <w:uiPriority w:val="99"/>
    <w:rsid w:val="00C07685"/>
    <w:rPr>
      <w:sz w:val="20"/>
      <w:szCs w:val="20"/>
    </w:rPr>
  </w:style>
  <w:style w:type="paragraph" w:styleId="CommentSubject">
    <w:name w:val="annotation subject"/>
    <w:basedOn w:val="CommentText"/>
    <w:next w:val="CommentText"/>
    <w:link w:val="CommentSubjectChar"/>
    <w:uiPriority w:val="99"/>
    <w:semiHidden/>
    <w:unhideWhenUsed/>
    <w:rsid w:val="00C07685"/>
    <w:rPr>
      <w:b/>
      <w:bCs/>
    </w:rPr>
  </w:style>
  <w:style w:type="character" w:customStyle="1" w:styleId="CommentSubjectChar">
    <w:name w:val="Comment Subject Char"/>
    <w:basedOn w:val="CommentTextChar"/>
    <w:link w:val="CommentSubject"/>
    <w:uiPriority w:val="99"/>
    <w:semiHidden/>
    <w:rsid w:val="00C07685"/>
    <w:rPr>
      <w:b/>
      <w:bCs/>
      <w:sz w:val="20"/>
      <w:szCs w:val="20"/>
    </w:rPr>
  </w:style>
  <w:style w:type="paragraph" w:styleId="Revision">
    <w:name w:val="Revision"/>
    <w:hidden/>
    <w:uiPriority w:val="99"/>
    <w:semiHidden/>
    <w:rsid w:val="00C07685"/>
    <w:pPr>
      <w:spacing w:after="0" w:line="240" w:lineRule="auto"/>
    </w:pPr>
  </w:style>
  <w:style w:type="paragraph" w:styleId="Header">
    <w:name w:val="header"/>
    <w:basedOn w:val="Normal"/>
    <w:link w:val="HeaderChar"/>
    <w:uiPriority w:val="99"/>
    <w:unhideWhenUsed/>
    <w:rsid w:val="008020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09C"/>
  </w:style>
  <w:style w:type="paragraph" w:styleId="Footer">
    <w:name w:val="footer"/>
    <w:basedOn w:val="Normal"/>
    <w:link w:val="FooterChar"/>
    <w:uiPriority w:val="99"/>
    <w:unhideWhenUsed/>
    <w:rsid w:val="008020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09C"/>
  </w:style>
  <w:style w:type="character" w:styleId="Hyperlink">
    <w:name w:val="Hyperlink"/>
    <w:basedOn w:val="DefaultParagraphFont"/>
    <w:uiPriority w:val="99"/>
    <w:unhideWhenUsed/>
    <w:rsid w:val="002E5FB5"/>
    <w:rPr>
      <w:color w:val="467886" w:themeColor="hyperlink"/>
      <w:u w:val="single"/>
    </w:rPr>
  </w:style>
  <w:style w:type="character" w:styleId="UnresolvedMention">
    <w:name w:val="Unresolved Mention"/>
    <w:basedOn w:val="DefaultParagraphFont"/>
    <w:uiPriority w:val="99"/>
    <w:semiHidden/>
    <w:unhideWhenUsed/>
    <w:rsid w:val="006959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67940">
      <w:bodyDiv w:val="1"/>
      <w:marLeft w:val="0"/>
      <w:marRight w:val="0"/>
      <w:marTop w:val="0"/>
      <w:marBottom w:val="0"/>
      <w:divBdr>
        <w:top w:val="none" w:sz="0" w:space="0" w:color="auto"/>
        <w:left w:val="none" w:sz="0" w:space="0" w:color="auto"/>
        <w:bottom w:val="none" w:sz="0" w:space="0" w:color="auto"/>
        <w:right w:val="none" w:sz="0" w:space="0" w:color="auto"/>
      </w:divBdr>
      <w:divsChild>
        <w:div w:id="1923947568">
          <w:marLeft w:val="0"/>
          <w:marRight w:val="0"/>
          <w:marTop w:val="0"/>
          <w:marBottom w:val="0"/>
          <w:divBdr>
            <w:top w:val="none" w:sz="0" w:space="0" w:color="auto"/>
            <w:left w:val="none" w:sz="0" w:space="0" w:color="auto"/>
            <w:bottom w:val="none" w:sz="0" w:space="0" w:color="auto"/>
            <w:right w:val="none" w:sz="0" w:space="0" w:color="auto"/>
          </w:divBdr>
        </w:div>
      </w:divsChild>
    </w:div>
    <w:div w:id="165678770">
      <w:bodyDiv w:val="1"/>
      <w:marLeft w:val="0"/>
      <w:marRight w:val="0"/>
      <w:marTop w:val="0"/>
      <w:marBottom w:val="0"/>
      <w:divBdr>
        <w:top w:val="none" w:sz="0" w:space="0" w:color="auto"/>
        <w:left w:val="none" w:sz="0" w:space="0" w:color="auto"/>
        <w:bottom w:val="none" w:sz="0" w:space="0" w:color="auto"/>
        <w:right w:val="none" w:sz="0" w:space="0" w:color="auto"/>
      </w:divBdr>
    </w:div>
    <w:div w:id="281039690">
      <w:bodyDiv w:val="1"/>
      <w:marLeft w:val="0"/>
      <w:marRight w:val="0"/>
      <w:marTop w:val="0"/>
      <w:marBottom w:val="0"/>
      <w:divBdr>
        <w:top w:val="none" w:sz="0" w:space="0" w:color="auto"/>
        <w:left w:val="none" w:sz="0" w:space="0" w:color="auto"/>
        <w:bottom w:val="none" w:sz="0" w:space="0" w:color="auto"/>
        <w:right w:val="none" w:sz="0" w:space="0" w:color="auto"/>
      </w:divBdr>
    </w:div>
    <w:div w:id="330833226">
      <w:bodyDiv w:val="1"/>
      <w:marLeft w:val="0"/>
      <w:marRight w:val="0"/>
      <w:marTop w:val="0"/>
      <w:marBottom w:val="0"/>
      <w:divBdr>
        <w:top w:val="none" w:sz="0" w:space="0" w:color="auto"/>
        <w:left w:val="none" w:sz="0" w:space="0" w:color="auto"/>
        <w:bottom w:val="none" w:sz="0" w:space="0" w:color="auto"/>
        <w:right w:val="none" w:sz="0" w:space="0" w:color="auto"/>
      </w:divBdr>
    </w:div>
    <w:div w:id="370804866">
      <w:bodyDiv w:val="1"/>
      <w:marLeft w:val="0"/>
      <w:marRight w:val="0"/>
      <w:marTop w:val="0"/>
      <w:marBottom w:val="0"/>
      <w:divBdr>
        <w:top w:val="none" w:sz="0" w:space="0" w:color="auto"/>
        <w:left w:val="none" w:sz="0" w:space="0" w:color="auto"/>
        <w:bottom w:val="none" w:sz="0" w:space="0" w:color="auto"/>
        <w:right w:val="none" w:sz="0" w:space="0" w:color="auto"/>
      </w:divBdr>
      <w:divsChild>
        <w:div w:id="81027504">
          <w:marLeft w:val="0"/>
          <w:marRight w:val="0"/>
          <w:marTop w:val="0"/>
          <w:marBottom w:val="0"/>
          <w:divBdr>
            <w:top w:val="none" w:sz="0" w:space="0" w:color="auto"/>
            <w:left w:val="none" w:sz="0" w:space="0" w:color="auto"/>
            <w:bottom w:val="none" w:sz="0" w:space="0" w:color="auto"/>
            <w:right w:val="none" w:sz="0" w:space="0" w:color="auto"/>
          </w:divBdr>
        </w:div>
      </w:divsChild>
    </w:div>
    <w:div w:id="1000079620">
      <w:bodyDiv w:val="1"/>
      <w:marLeft w:val="0"/>
      <w:marRight w:val="0"/>
      <w:marTop w:val="0"/>
      <w:marBottom w:val="0"/>
      <w:divBdr>
        <w:top w:val="none" w:sz="0" w:space="0" w:color="auto"/>
        <w:left w:val="none" w:sz="0" w:space="0" w:color="auto"/>
        <w:bottom w:val="none" w:sz="0" w:space="0" w:color="auto"/>
        <w:right w:val="none" w:sz="0" w:space="0" w:color="auto"/>
      </w:divBdr>
      <w:divsChild>
        <w:div w:id="204373874">
          <w:marLeft w:val="0"/>
          <w:marRight w:val="0"/>
          <w:marTop w:val="0"/>
          <w:marBottom w:val="0"/>
          <w:divBdr>
            <w:top w:val="none" w:sz="0" w:space="0" w:color="auto"/>
            <w:left w:val="none" w:sz="0" w:space="0" w:color="auto"/>
            <w:bottom w:val="none" w:sz="0" w:space="0" w:color="auto"/>
            <w:right w:val="none" w:sz="0" w:space="0" w:color="auto"/>
          </w:divBdr>
        </w:div>
      </w:divsChild>
    </w:div>
    <w:div w:id="1484665177">
      <w:bodyDiv w:val="1"/>
      <w:marLeft w:val="0"/>
      <w:marRight w:val="0"/>
      <w:marTop w:val="0"/>
      <w:marBottom w:val="0"/>
      <w:divBdr>
        <w:top w:val="none" w:sz="0" w:space="0" w:color="auto"/>
        <w:left w:val="none" w:sz="0" w:space="0" w:color="auto"/>
        <w:bottom w:val="none" w:sz="0" w:space="0" w:color="auto"/>
        <w:right w:val="none" w:sz="0" w:space="0" w:color="auto"/>
      </w:divBdr>
      <w:divsChild>
        <w:div w:id="3775124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eatrice@ideaprim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644</Words>
  <Characters>3675</Characters>
  <Application>Microsoft Office Word</Application>
  <DocSecurity>0</DocSecurity>
  <Lines>30</Lines>
  <Paragraphs>8</Paragraphs>
  <ScaleCrop>false</ScaleCrop>
  <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Rolandas Kajokas</dc:creator>
  <cp:keywords/>
  <dc:description/>
  <cp:lastModifiedBy>Beatričė Mikšytė</cp:lastModifiedBy>
  <cp:revision>20</cp:revision>
  <dcterms:created xsi:type="dcterms:W3CDTF">2025-07-08T12:52:00Z</dcterms:created>
  <dcterms:modified xsi:type="dcterms:W3CDTF">2025-09-11T06:28:00Z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2025-06-17T10:06:24Z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1ac60e19-10de-4bf1-8069-9a54021fc5de</vt:lpwstr>
  </property>
  <property fmtid="{D5CDD505-2E9C-101B-9397-08002B2CF9AE}" pid="7" name="MSIP_Label_defa4170-0d19-0005-0004-bc88714345d2_ActionId">
    <vt:lpwstr>dbd632f2-6b36-4e06-9a8b-bcd382e81fff</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