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E4646" w14:textId="11696C1B" w:rsidR="00AD6F16" w:rsidRPr="00690D66" w:rsidRDefault="000F1ADA" w:rsidP="00347B96">
      <w:pPr>
        <w:tabs>
          <w:tab w:val="left" w:pos="1980"/>
        </w:tabs>
        <w:jc w:val="both"/>
        <w:rPr>
          <w:rFonts w:ascii="Arial" w:hAnsi="Arial" w:cs="Arial"/>
          <w:sz w:val="21"/>
          <w:szCs w:val="21"/>
        </w:rPr>
      </w:pPr>
      <w:r w:rsidRPr="00690D66">
        <w:rPr>
          <w:rFonts w:ascii="Arial" w:hAnsi="Arial" w:cs="Arial"/>
          <w:sz w:val="21"/>
          <w:szCs w:val="21"/>
        </w:rPr>
        <w:t>Komentaras</w:t>
      </w:r>
      <w:r w:rsidR="00D63BE5" w:rsidRPr="00690D66">
        <w:rPr>
          <w:rFonts w:ascii="Arial" w:hAnsi="Arial" w:cs="Arial"/>
          <w:sz w:val="21"/>
          <w:szCs w:val="21"/>
        </w:rPr>
        <w:t xml:space="preserve"> žiniasklaidai</w:t>
      </w:r>
    </w:p>
    <w:p w14:paraId="0E73341C" w14:textId="1129C245" w:rsidR="00411948" w:rsidRPr="00690D66" w:rsidRDefault="00AD6F16" w:rsidP="00D63BE5">
      <w:pPr>
        <w:tabs>
          <w:tab w:val="left" w:pos="1980"/>
        </w:tabs>
        <w:spacing w:after="240"/>
        <w:jc w:val="both"/>
        <w:rPr>
          <w:rFonts w:ascii="Arial" w:hAnsi="Arial" w:cs="Arial"/>
          <w:sz w:val="21"/>
          <w:szCs w:val="21"/>
        </w:rPr>
      </w:pPr>
      <w:r w:rsidRPr="00690D66">
        <w:rPr>
          <w:rFonts w:ascii="Arial" w:hAnsi="Arial" w:cs="Arial"/>
          <w:sz w:val="21"/>
          <w:szCs w:val="21"/>
        </w:rPr>
        <w:t>202</w:t>
      </w:r>
      <w:r w:rsidR="000F1ADA" w:rsidRPr="00690D66">
        <w:rPr>
          <w:rFonts w:ascii="Arial" w:hAnsi="Arial" w:cs="Arial"/>
          <w:sz w:val="21"/>
          <w:szCs w:val="21"/>
        </w:rPr>
        <w:t>5</w:t>
      </w:r>
      <w:r w:rsidRPr="00690D66">
        <w:rPr>
          <w:rFonts w:ascii="Arial" w:hAnsi="Arial" w:cs="Arial"/>
          <w:sz w:val="21"/>
          <w:szCs w:val="21"/>
        </w:rPr>
        <w:t xml:space="preserve"> m. </w:t>
      </w:r>
      <w:r w:rsidR="000F1ADA" w:rsidRPr="00690D66">
        <w:rPr>
          <w:rFonts w:ascii="Arial" w:hAnsi="Arial" w:cs="Arial"/>
          <w:sz w:val="21"/>
          <w:szCs w:val="21"/>
        </w:rPr>
        <w:t>sausio</w:t>
      </w:r>
      <w:r w:rsidR="00601D1F" w:rsidRPr="00690D66">
        <w:rPr>
          <w:rFonts w:ascii="Arial" w:hAnsi="Arial" w:cs="Arial"/>
          <w:sz w:val="21"/>
          <w:szCs w:val="21"/>
        </w:rPr>
        <w:t xml:space="preserve"> </w:t>
      </w:r>
      <w:r w:rsidR="00690D66" w:rsidRPr="00690D66">
        <w:rPr>
          <w:rFonts w:ascii="Arial" w:hAnsi="Arial" w:cs="Arial"/>
          <w:sz w:val="21"/>
          <w:szCs w:val="21"/>
        </w:rPr>
        <w:t>14</w:t>
      </w:r>
      <w:r w:rsidRPr="00690D66">
        <w:rPr>
          <w:rFonts w:ascii="Arial" w:hAnsi="Arial" w:cs="Arial"/>
          <w:sz w:val="21"/>
          <w:szCs w:val="21"/>
        </w:rPr>
        <w:t xml:space="preserve"> d., Vilnius</w:t>
      </w:r>
    </w:p>
    <w:p w14:paraId="6158F938" w14:textId="49FC74EE" w:rsidR="0047674F" w:rsidRPr="00690D66" w:rsidRDefault="00814F96" w:rsidP="000F1ADA">
      <w:pPr>
        <w:rPr>
          <w:rFonts w:ascii="Arial" w:hAnsi="Arial" w:cs="Arial"/>
          <w:b/>
          <w:bCs/>
          <w:sz w:val="24"/>
          <w:szCs w:val="24"/>
        </w:rPr>
      </w:pPr>
      <w:r w:rsidRPr="00690D66">
        <w:rPr>
          <w:rFonts w:ascii="Arial" w:hAnsi="Arial" w:cs="Arial"/>
          <w:b/>
          <w:bCs/>
          <w:sz w:val="24"/>
          <w:szCs w:val="24"/>
        </w:rPr>
        <w:t>IPO rink</w:t>
      </w:r>
      <w:r w:rsidR="009B5908" w:rsidRPr="00690D66">
        <w:rPr>
          <w:rFonts w:ascii="Arial" w:hAnsi="Arial" w:cs="Arial"/>
          <w:b/>
          <w:bCs/>
          <w:sz w:val="24"/>
          <w:szCs w:val="24"/>
        </w:rPr>
        <w:t>os</w:t>
      </w:r>
      <w:r w:rsidRPr="00690D66">
        <w:rPr>
          <w:rFonts w:ascii="Arial" w:hAnsi="Arial" w:cs="Arial"/>
          <w:b/>
          <w:bCs/>
          <w:sz w:val="24"/>
          <w:szCs w:val="24"/>
        </w:rPr>
        <w:t xml:space="preserve"> 2025-aisiais</w:t>
      </w:r>
      <w:r w:rsidR="00F046BA" w:rsidRPr="00690D66">
        <w:rPr>
          <w:rFonts w:ascii="Arial" w:hAnsi="Arial" w:cs="Arial"/>
          <w:b/>
          <w:bCs/>
          <w:sz w:val="24"/>
          <w:szCs w:val="24"/>
        </w:rPr>
        <w:t xml:space="preserve">: </w:t>
      </w:r>
      <w:r w:rsidR="009B5908" w:rsidRPr="00690D66">
        <w:rPr>
          <w:rFonts w:ascii="Arial" w:hAnsi="Arial" w:cs="Arial"/>
          <w:b/>
          <w:bCs/>
          <w:sz w:val="24"/>
          <w:szCs w:val="24"/>
        </w:rPr>
        <w:t xml:space="preserve">ar daugiau optimizmo </w:t>
      </w:r>
      <w:r w:rsidR="0047674F" w:rsidRPr="00690D66">
        <w:rPr>
          <w:rFonts w:ascii="Arial" w:hAnsi="Arial" w:cs="Arial"/>
          <w:b/>
          <w:bCs/>
          <w:sz w:val="24"/>
          <w:szCs w:val="24"/>
        </w:rPr>
        <w:t xml:space="preserve">atneš ir </w:t>
      </w:r>
      <w:r w:rsidR="003A2856" w:rsidRPr="00690D66">
        <w:rPr>
          <w:rFonts w:ascii="Arial" w:hAnsi="Arial" w:cs="Arial"/>
          <w:b/>
          <w:bCs/>
          <w:sz w:val="24"/>
          <w:szCs w:val="24"/>
        </w:rPr>
        <w:t xml:space="preserve">gausiau </w:t>
      </w:r>
      <w:r w:rsidR="0047674F" w:rsidRPr="00690D66">
        <w:rPr>
          <w:rFonts w:ascii="Arial" w:hAnsi="Arial" w:cs="Arial"/>
          <w:b/>
          <w:bCs/>
          <w:sz w:val="24"/>
          <w:szCs w:val="24"/>
        </w:rPr>
        <w:t>sandorių?</w:t>
      </w:r>
    </w:p>
    <w:p w14:paraId="0AF5D3A7" w14:textId="77777777" w:rsidR="00C60968" w:rsidRPr="00690D66" w:rsidRDefault="00C60968" w:rsidP="00C60968">
      <w:pPr>
        <w:jc w:val="both"/>
        <w:rPr>
          <w:rFonts w:ascii="Arial" w:hAnsi="Arial" w:cs="Arial"/>
        </w:rPr>
      </w:pPr>
    </w:p>
    <w:p w14:paraId="13C56C76" w14:textId="630FB76D" w:rsidR="00C60968" w:rsidRPr="00690D66" w:rsidRDefault="000F1ADA" w:rsidP="00C60968">
      <w:pPr>
        <w:jc w:val="both"/>
        <w:rPr>
          <w:rFonts w:ascii="Arial" w:hAnsi="Arial" w:cs="Arial"/>
          <w:i/>
          <w:iCs/>
        </w:rPr>
      </w:pPr>
      <w:r w:rsidRPr="00690D66">
        <w:rPr>
          <w:rFonts w:ascii="Arial" w:hAnsi="Arial" w:cs="Arial"/>
          <w:i/>
          <w:iCs/>
        </w:rPr>
        <w:t xml:space="preserve">Komentaro autorius </w:t>
      </w:r>
      <w:r w:rsidR="00C60968" w:rsidRPr="00690D66">
        <w:rPr>
          <w:rFonts w:ascii="Arial" w:hAnsi="Arial" w:cs="Arial"/>
          <w:i/>
          <w:iCs/>
        </w:rPr>
        <w:t>Rolandas Laukaitis, profesinių paslaugų bendrovės EY strategijos ir sandorių paslaugų praktikos partneris</w:t>
      </w:r>
    </w:p>
    <w:p w14:paraId="17DEA696" w14:textId="77777777" w:rsidR="00C60968" w:rsidRPr="00690D66" w:rsidRDefault="00C60968" w:rsidP="00C60968">
      <w:pPr>
        <w:jc w:val="both"/>
        <w:rPr>
          <w:rFonts w:ascii="Arial" w:hAnsi="Arial" w:cs="Arial"/>
        </w:rPr>
      </w:pPr>
    </w:p>
    <w:p w14:paraId="53A9996A" w14:textId="714E3F96" w:rsidR="00C60968" w:rsidRPr="00690D66" w:rsidRDefault="00C60968" w:rsidP="00C60968">
      <w:pPr>
        <w:jc w:val="both"/>
        <w:rPr>
          <w:rFonts w:ascii="Arial" w:hAnsi="Arial" w:cs="Arial"/>
          <w:b/>
          <w:bCs/>
        </w:rPr>
      </w:pPr>
      <w:r w:rsidRPr="00690D66">
        <w:rPr>
          <w:rFonts w:ascii="Arial" w:hAnsi="Arial" w:cs="Arial"/>
          <w:b/>
          <w:bCs/>
        </w:rPr>
        <w:t>2025 metais finansų rinkos pasitinka su daugiau aiškumo</w:t>
      </w:r>
      <w:r w:rsidR="0042706B" w:rsidRPr="00690D66">
        <w:rPr>
          <w:rFonts w:ascii="Arial" w:hAnsi="Arial" w:cs="Arial"/>
          <w:b/>
          <w:bCs/>
        </w:rPr>
        <w:t xml:space="preserve"> </w:t>
      </w:r>
      <w:r w:rsidRPr="00690D66">
        <w:rPr>
          <w:rFonts w:ascii="Arial" w:hAnsi="Arial" w:cs="Arial"/>
          <w:b/>
          <w:bCs/>
        </w:rPr>
        <w:t xml:space="preserve">ir iš to kylančio optimizmo. </w:t>
      </w:r>
      <w:r w:rsidRPr="00690D66">
        <w:rPr>
          <w:rFonts w:ascii="Arial" w:hAnsi="Arial" w:cs="Arial"/>
          <w:b/>
          <w:bCs/>
          <w:color w:val="000000" w:themeColor="text1"/>
        </w:rPr>
        <w:t>Infliacijos rodikliai žem</w:t>
      </w:r>
      <w:r w:rsidR="00D34EE9" w:rsidRPr="00690D66">
        <w:rPr>
          <w:rFonts w:ascii="Arial" w:hAnsi="Arial" w:cs="Arial"/>
          <w:b/>
          <w:bCs/>
          <w:color w:val="000000" w:themeColor="text1"/>
        </w:rPr>
        <w:t xml:space="preserve">ėja, </w:t>
      </w:r>
      <w:r w:rsidRPr="00690D66">
        <w:rPr>
          <w:rFonts w:ascii="Arial" w:hAnsi="Arial" w:cs="Arial"/>
          <w:b/>
          <w:bCs/>
        </w:rPr>
        <w:t xml:space="preserve">centriniai bankai gali nuosekliai ir palaipsniui mažinti palūkanų normas, dėl to aplinka tampa palankesnė </w:t>
      </w:r>
      <w:r w:rsidR="000A0DA1" w:rsidRPr="00690D66">
        <w:rPr>
          <w:rFonts w:ascii="Arial" w:hAnsi="Arial" w:cs="Arial"/>
          <w:b/>
          <w:bCs/>
        </w:rPr>
        <w:t xml:space="preserve">finansiniams </w:t>
      </w:r>
      <w:r w:rsidRPr="00690D66">
        <w:rPr>
          <w:rFonts w:ascii="Arial" w:hAnsi="Arial" w:cs="Arial"/>
          <w:b/>
          <w:bCs/>
        </w:rPr>
        <w:t xml:space="preserve">sandoriams. Optimizmą palaiko </w:t>
      </w:r>
      <w:r w:rsidR="000A0DA1" w:rsidRPr="00690D66">
        <w:rPr>
          <w:rFonts w:ascii="Arial" w:hAnsi="Arial" w:cs="Arial"/>
          <w:b/>
          <w:bCs/>
        </w:rPr>
        <w:t xml:space="preserve">ir </w:t>
      </w:r>
      <w:r w:rsidRPr="00690D66">
        <w:rPr>
          <w:rFonts w:ascii="Arial" w:hAnsi="Arial" w:cs="Arial"/>
          <w:b/>
          <w:bCs/>
        </w:rPr>
        <w:t xml:space="preserve">daug žadančios dirbtinio intelekto (DI) technologijų įmonių augimo perspektyvos </w:t>
      </w:r>
      <w:r w:rsidR="000A0DA1" w:rsidRPr="00690D66">
        <w:rPr>
          <w:rFonts w:ascii="Arial" w:hAnsi="Arial" w:cs="Arial"/>
          <w:b/>
          <w:bCs/>
        </w:rPr>
        <w:t>bei</w:t>
      </w:r>
      <w:r w:rsidRPr="00690D66">
        <w:rPr>
          <w:rFonts w:ascii="Arial" w:hAnsi="Arial" w:cs="Arial"/>
          <w:b/>
          <w:bCs/>
        </w:rPr>
        <w:t xml:space="preserve"> skaitmeninės transformacijos pagreitis. </w:t>
      </w:r>
      <w:r w:rsidR="003A2856" w:rsidRPr="00690D66">
        <w:rPr>
          <w:rFonts w:ascii="Arial" w:hAnsi="Arial" w:cs="Arial"/>
          <w:b/>
          <w:bCs/>
        </w:rPr>
        <w:t>Taigi ko tikėtis IPO rinkose šiemet?</w:t>
      </w:r>
    </w:p>
    <w:p w14:paraId="2C6F57F1" w14:textId="77777777" w:rsidR="00C60968" w:rsidRPr="00690D66" w:rsidRDefault="00C60968" w:rsidP="00C60968">
      <w:pPr>
        <w:jc w:val="both"/>
        <w:rPr>
          <w:rFonts w:ascii="Arial" w:hAnsi="Arial" w:cs="Arial"/>
        </w:rPr>
      </w:pPr>
    </w:p>
    <w:p w14:paraId="468D89A0" w14:textId="2B3C0B4D" w:rsidR="00C60968" w:rsidRPr="00690D66" w:rsidRDefault="00C60968" w:rsidP="00C60968">
      <w:pPr>
        <w:jc w:val="both"/>
        <w:rPr>
          <w:rFonts w:ascii="Arial" w:hAnsi="Arial" w:cs="Arial"/>
        </w:rPr>
      </w:pPr>
      <w:r w:rsidRPr="00690D66">
        <w:rPr>
          <w:rFonts w:ascii="Arial" w:hAnsi="Arial" w:cs="Arial"/>
        </w:rPr>
        <w:t>Pasaulinėse finansų rinkose, kuriose susiformuoja pagrindinis pirminių viešų akcijų siūlymų (IPO) srautas, praėję metai buvo vangesni negu 2023-ieji. 2024 m</w:t>
      </w:r>
      <w:r w:rsidR="008220E4" w:rsidRPr="00690D66">
        <w:rPr>
          <w:rFonts w:ascii="Arial" w:hAnsi="Arial" w:cs="Arial"/>
        </w:rPr>
        <w:t>.</w:t>
      </w:r>
      <w:r w:rsidRPr="00690D66">
        <w:rPr>
          <w:rFonts w:ascii="Arial" w:hAnsi="Arial" w:cs="Arial"/>
        </w:rPr>
        <w:t xml:space="preserve"> iš viso fiksuota 1</w:t>
      </w:r>
      <w:r w:rsidR="008220E4" w:rsidRPr="00690D66">
        <w:rPr>
          <w:rFonts w:ascii="Arial" w:hAnsi="Arial" w:cs="Arial"/>
        </w:rPr>
        <w:t xml:space="preserve"> </w:t>
      </w:r>
      <w:r w:rsidRPr="00690D66">
        <w:rPr>
          <w:rFonts w:ascii="Arial" w:hAnsi="Arial" w:cs="Arial"/>
        </w:rPr>
        <w:t>215 IPO, t. y. 10 proc. mažiau nei užpernai (1</w:t>
      </w:r>
      <w:r w:rsidR="008220E4" w:rsidRPr="00690D66">
        <w:rPr>
          <w:rFonts w:ascii="Arial" w:hAnsi="Arial" w:cs="Arial"/>
        </w:rPr>
        <w:t> </w:t>
      </w:r>
      <w:r w:rsidRPr="00690D66">
        <w:rPr>
          <w:rFonts w:ascii="Arial" w:hAnsi="Arial" w:cs="Arial"/>
        </w:rPr>
        <w:t>315</w:t>
      </w:r>
      <w:r w:rsidR="008220E4" w:rsidRPr="00690D66">
        <w:rPr>
          <w:rFonts w:ascii="Arial" w:hAnsi="Arial" w:cs="Arial"/>
        </w:rPr>
        <w:t xml:space="preserve"> sando</w:t>
      </w:r>
      <w:r w:rsidR="00D22877" w:rsidRPr="00690D66">
        <w:rPr>
          <w:rFonts w:ascii="Arial" w:hAnsi="Arial" w:cs="Arial"/>
        </w:rPr>
        <w:t>rių</w:t>
      </w:r>
      <w:r w:rsidRPr="00690D66">
        <w:rPr>
          <w:rFonts w:ascii="Arial" w:hAnsi="Arial" w:cs="Arial"/>
        </w:rPr>
        <w:t>). Per IPO pritrauktų investicijų suma sumažėjo 4 proc. –</w:t>
      </w:r>
      <w:r w:rsidR="00D22877" w:rsidRPr="00690D66">
        <w:rPr>
          <w:rFonts w:ascii="Arial" w:hAnsi="Arial" w:cs="Arial"/>
        </w:rPr>
        <w:t xml:space="preserve"> </w:t>
      </w:r>
      <w:r w:rsidRPr="00690D66">
        <w:rPr>
          <w:rFonts w:ascii="Arial" w:hAnsi="Arial" w:cs="Arial"/>
        </w:rPr>
        <w:t xml:space="preserve">iki 121,2 mlrd. dolerių pernai. </w:t>
      </w:r>
    </w:p>
    <w:p w14:paraId="3EE58722" w14:textId="77777777" w:rsidR="00C60968" w:rsidRPr="00690D66" w:rsidRDefault="00C60968" w:rsidP="00C60968">
      <w:pPr>
        <w:jc w:val="both"/>
        <w:rPr>
          <w:rFonts w:ascii="Arial" w:hAnsi="Arial" w:cs="Arial"/>
        </w:rPr>
      </w:pPr>
    </w:p>
    <w:p w14:paraId="2EE5E103" w14:textId="77777777" w:rsidR="00013FA4" w:rsidRPr="00690D66" w:rsidRDefault="00C60968" w:rsidP="00C60968">
      <w:pPr>
        <w:jc w:val="both"/>
        <w:rPr>
          <w:rFonts w:ascii="Arial" w:hAnsi="Arial" w:cs="Arial"/>
        </w:rPr>
      </w:pPr>
      <w:r w:rsidRPr="00690D66">
        <w:rPr>
          <w:rFonts w:ascii="Arial" w:hAnsi="Arial" w:cs="Arial"/>
        </w:rPr>
        <w:t xml:space="preserve">Kita vertus, reikėtų pastebėti, kad atoslūgis yra šiek tiek apgaulingas. Visų pirma, bendrąją pasaulio statistiką stipriai paveikė Kinijos IPO sandorių susitraukimas. Užtat Europos ir JAV rinkos pernai atsigavo po 2023 m. infliacijos šoko ir pasiekė pastebimai geresnių rezultatų. </w:t>
      </w:r>
    </w:p>
    <w:p w14:paraId="4D360BAE" w14:textId="77777777" w:rsidR="00013FA4" w:rsidRPr="00690D66" w:rsidRDefault="00013FA4" w:rsidP="00C60968">
      <w:pPr>
        <w:jc w:val="both"/>
        <w:rPr>
          <w:rFonts w:ascii="Arial" w:hAnsi="Arial" w:cs="Arial"/>
        </w:rPr>
      </w:pPr>
    </w:p>
    <w:p w14:paraId="067DEC30" w14:textId="1A05DA4A" w:rsidR="00C60968" w:rsidRPr="00690D66" w:rsidRDefault="00C60968" w:rsidP="00C60968">
      <w:pPr>
        <w:jc w:val="both"/>
        <w:rPr>
          <w:rFonts w:ascii="Arial" w:hAnsi="Arial" w:cs="Arial"/>
        </w:rPr>
      </w:pPr>
      <w:r w:rsidRPr="00690D66">
        <w:rPr>
          <w:rFonts w:ascii="Arial" w:hAnsi="Arial" w:cs="Arial"/>
        </w:rPr>
        <w:t xml:space="preserve">Antra, 2024 m. </w:t>
      </w:r>
      <w:r w:rsidR="002B5F19" w:rsidRPr="00690D66">
        <w:rPr>
          <w:rFonts w:ascii="Arial" w:hAnsi="Arial" w:cs="Arial"/>
        </w:rPr>
        <w:t>antrą</w:t>
      </w:r>
      <w:r w:rsidR="00864C42" w:rsidRPr="00690D66">
        <w:rPr>
          <w:rFonts w:ascii="Arial" w:hAnsi="Arial" w:cs="Arial"/>
        </w:rPr>
        <w:t>jį</w:t>
      </w:r>
      <w:r w:rsidR="002B5F19" w:rsidRPr="00690D66">
        <w:rPr>
          <w:rFonts w:ascii="Arial" w:hAnsi="Arial" w:cs="Arial"/>
        </w:rPr>
        <w:t xml:space="preserve"> pusmetį</w:t>
      </w:r>
      <w:r w:rsidRPr="00690D66">
        <w:rPr>
          <w:rFonts w:ascii="Arial" w:hAnsi="Arial" w:cs="Arial"/>
        </w:rPr>
        <w:t xml:space="preserve"> visuose pasaulio regionuose buvo sudaryta gerokai daugiau IPO sandorių nei pirmąjį. Lyginant pusmečius, susidar</w:t>
      </w:r>
      <w:r w:rsidR="00DD2655" w:rsidRPr="00690D66">
        <w:rPr>
          <w:rFonts w:ascii="Arial" w:hAnsi="Arial" w:cs="Arial"/>
        </w:rPr>
        <w:t>ė</w:t>
      </w:r>
      <w:r w:rsidRPr="00690D66">
        <w:rPr>
          <w:rFonts w:ascii="Arial" w:hAnsi="Arial" w:cs="Arial"/>
        </w:rPr>
        <w:t xml:space="preserve"> 17 proc. sandorių skaičiaus šuolis ir net 30 proc. daugiau pritrauktų lėšų (nuo 52,7 mlrd. iki 68,5 mlrd. JAV dolerių). Ši dinamika iliustruoja, kad bendras ekonomikos optimizmas įtraukė ir IPO rinkas, ypač Europoje ir JAV.</w:t>
      </w:r>
    </w:p>
    <w:p w14:paraId="316536AF" w14:textId="77777777" w:rsidR="00D677FF" w:rsidRPr="00690D66" w:rsidRDefault="00D677FF" w:rsidP="00C60968">
      <w:pPr>
        <w:jc w:val="both"/>
        <w:rPr>
          <w:rFonts w:ascii="Arial" w:hAnsi="Arial" w:cs="Arial"/>
        </w:rPr>
      </w:pPr>
    </w:p>
    <w:p w14:paraId="0EB2B57D" w14:textId="4E44EC4A" w:rsidR="00D677FF" w:rsidRPr="00690D66" w:rsidRDefault="00E07489" w:rsidP="00C60968">
      <w:pPr>
        <w:jc w:val="both"/>
        <w:rPr>
          <w:rFonts w:ascii="Arial" w:hAnsi="Arial" w:cs="Arial"/>
          <w:b/>
          <w:bCs/>
        </w:rPr>
      </w:pPr>
      <w:r w:rsidRPr="00690D66">
        <w:rPr>
          <w:rFonts w:ascii="Arial" w:hAnsi="Arial" w:cs="Arial"/>
          <w:b/>
          <w:bCs/>
        </w:rPr>
        <w:t>JAV aktyvumas drąsina</w:t>
      </w:r>
    </w:p>
    <w:p w14:paraId="698C559F" w14:textId="77777777" w:rsidR="00E07489" w:rsidRPr="00690D66" w:rsidRDefault="00E07489" w:rsidP="00C60968">
      <w:pPr>
        <w:jc w:val="both"/>
        <w:rPr>
          <w:rFonts w:ascii="Arial" w:hAnsi="Arial" w:cs="Arial"/>
        </w:rPr>
      </w:pPr>
    </w:p>
    <w:p w14:paraId="7DF0FECC" w14:textId="77777777" w:rsidR="00CD52C4" w:rsidRPr="00690D66" w:rsidRDefault="00E07489" w:rsidP="00E07489">
      <w:pPr>
        <w:jc w:val="both"/>
        <w:rPr>
          <w:rFonts w:ascii="Arial" w:hAnsi="Arial" w:cs="Arial"/>
        </w:rPr>
      </w:pPr>
      <w:r w:rsidRPr="00690D66">
        <w:rPr>
          <w:rFonts w:ascii="Arial" w:hAnsi="Arial" w:cs="Arial"/>
        </w:rPr>
        <w:t xml:space="preserve">Kalbant apie JAV, </w:t>
      </w:r>
      <w:r w:rsidR="00CD52C4" w:rsidRPr="00690D66">
        <w:rPr>
          <w:rFonts w:ascii="Arial" w:hAnsi="Arial" w:cs="Arial"/>
        </w:rPr>
        <w:t>čia</w:t>
      </w:r>
      <w:r w:rsidRPr="00690D66">
        <w:rPr>
          <w:rFonts w:ascii="Arial" w:hAnsi="Arial" w:cs="Arial"/>
        </w:rPr>
        <w:t xml:space="preserve"> kapitalo rinkose pernai įvyko 44 proc. daugiau IPO (183 palyginti su 127), o pritrauktų investicijų apimtis išaugo 47 proc. – nuo 22,2 mlrd. JAV dolerių 2023 m. iki 32,8 mlrd. JAV dolerių 2024 metais. </w:t>
      </w:r>
    </w:p>
    <w:p w14:paraId="43530FD8" w14:textId="77777777" w:rsidR="00CD52C4" w:rsidRPr="00690D66" w:rsidRDefault="00CD52C4" w:rsidP="00E07489">
      <w:pPr>
        <w:jc w:val="both"/>
        <w:rPr>
          <w:rFonts w:ascii="Arial" w:hAnsi="Arial" w:cs="Arial"/>
        </w:rPr>
      </w:pPr>
    </w:p>
    <w:p w14:paraId="1FE474E2" w14:textId="6B4A6F83" w:rsidR="00E07489" w:rsidRPr="00690D66" w:rsidRDefault="00E07489" w:rsidP="00E07489">
      <w:pPr>
        <w:jc w:val="both"/>
        <w:rPr>
          <w:rFonts w:ascii="Arial" w:hAnsi="Arial" w:cs="Arial"/>
        </w:rPr>
      </w:pPr>
      <w:r w:rsidRPr="00690D66">
        <w:rPr>
          <w:rFonts w:ascii="Arial" w:hAnsi="Arial" w:cs="Arial"/>
        </w:rPr>
        <w:t>Didžiausias IPO sandoris JAV pernai buvo bendrovės „</w:t>
      </w:r>
      <w:proofErr w:type="spellStart"/>
      <w:r w:rsidRPr="00690D66">
        <w:rPr>
          <w:rFonts w:ascii="Arial" w:hAnsi="Arial" w:cs="Arial"/>
        </w:rPr>
        <w:t>Lineage</w:t>
      </w:r>
      <w:proofErr w:type="spellEnd"/>
      <w:r w:rsidRPr="00690D66">
        <w:rPr>
          <w:rFonts w:ascii="Arial" w:hAnsi="Arial" w:cs="Arial"/>
        </w:rPr>
        <w:t xml:space="preserve"> </w:t>
      </w:r>
      <w:proofErr w:type="spellStart"/>
      <w:r w:rsidRPr="00690D66">
        <w:rPr>
          <w:rFonts w:ascii="Arial" w:hAnsi="Arial" w:cs="Arial"/>
        </w:rPr>
        <w:t>Inc</w:t>
      </w:r>
      <w:proofErr w:type="spellEnd"/>
      <w:r w:rsidRPr="00690D66">
        <w:rPr>
          <w:rFonts w:ascii="Arial" w:hAnsi="Arial" w:cs="Arial"/>
        </w:rPr>
        <w:t xml:space="preserve">“ įtraukimas į biržos NASDAQ Niujorko vertybinių popierių biržos sąrašą. Per šį IPO buvo pritraukta 5,1 mlrd. dolerių. JAV rinkos išsiskyrė ir tuo, </w:t>
      </w:r>
      <w:r w:rsidR="000315F5" w:rsidRPr="00690D66">
        <w:rPr>
          <w:rFonts w:ascii="Arial" w:hAnsi="Arial" w:cs="Arial"/>
        </w:rPr>
        <w:t xml:space="preserve">kad </w:t>
      </w:r>
      <w:r w:rsidRPr="00690D66">
        <w:rPr>
          <w:rFonts w:ascii="Arial" w:hAnsi="Arial" w:cs="Arial"/>
        </w:rPr>
        <w:t xml:space="preserve">ten vyko labai daug tarpvalstybinių IPO, t. y. kitų šalių bendrovių įtraukimo į biržos sąrašus. </w:t>
      </w:r>
    </w:p>
    <w:p w14:paraId="27DA8FD5" w14:textId="77777777" w:rsidR="00C60968" w:rsidRPr="00690D66" w:rsidRDefault="00C60968" w:rsidP="00C60968">
      <w:pPr>
        <w:jc w:val="both"/>
        <w:rPr>
          <w:rFonts w:ascii="Arial" w:hAnsi="Arial" w:cs="Arial"/>
        </w:rPr>
      </w:pPr>
    </w:p>
    <w:p w14:paraId="06CCA02B" w14:textId="7DC7F32D" w:rsidR="00C60968" w:rsidRPr="00690D66" w:rsidRDefault="00C60968" w:rsidP="00C60968">
      <w:pPr>
        <w:jc w:val="both"/>
        <w:rPr>
          <w:rFonts w:ascii="Arial" w:hAnsi="Arial" w:cs="Arial"/>
          <w:b/>
          <w:bCs/>
        </w:rPr>
      </w:pPr>
      <w:r w:rsidRPr="00690D66">
        <w:rPr>
          <w:rFonts w:ascii="Arial" w:hAnsi="Arial" w:cs="Arial"/>
          <w:b/>
          <w:bCs/>
        </w:rPr>
        <w:t>Skandinavijos pavyzdžiai kursto ambicijas Baltijos šalyse</w:t>
      </w:r>
    </w:p>
    <w:p w14:paraId="73295787" w14:textId="77777777" w:rsidR="00C60968" w:rsidRPr="00690D66" w:rsidRDefault="00C60968" w:rsidP="00C60968">
      <w:pPr>
        <w:jc w:val="both"/>
        <w:rPr>
          <w:rFonts w:ascii="Arial" w:hAnsi="Arial" w:cs="Arial"/>
        </w:rPr>
      </w:pPr>
    </w:p>
    <w:p w14:paraId="6162F44F" w14:textId="4CECD2BC" w:rsidR="00186F73" w:rsidRPr="00690D66" w:rsidRDefault="00C60968" w:rsidP="00186F73">
      <w:pPr>
        <w:jc w:val="both"/>
        <w:rPr>
          <w:rFonts w:ascii="Arial" w:hAnsi="Arial" w:cs="Arial"/>
        </w:rPr>
      </w:pPr>
      <w:r w:rsidRPr="00690D66">
        <w:rPr>
          <w:rFonts w:ascii="Arial" w:hAnsi="Arial" w:cs="Arial"/>
        </w:rPr>
        <w:t xml:space="preserve">Analizuojant situaciją Europoje, galima pastebėti, jog pernai IPO sandorių </w:t>
      </w:r>
      <w:r w:rsidR="003668EF" w:rsidRPr="00690D66">
        <w:rPr>
          <w:rFonts w:ascii="Arial" w:hAnsi="Arial" w:cs="Arial"/>
        </w:rPr>
        <w:t>čia buvo</w:t>
      </w:r>
      <w:r w:rsidRPr="00690D66">
        <w:rPr>
          <w:rFonts w:ascii="Arial" w:hAnsi="Arial" w:cs="Arial"/>
        </w:rPr>
        <w:t xml:space="preserve"> sudaryta 17 proc. mažiau negu 2023 metais (</w:t>
      </w:r>
      <w:r w:rsidR="005640AE" w:rsidRPr="00690D66">
        <w:rPr>
          <w:rFonts w:ascii="Arial" w:hAnsi="Arial" w:cs="Arial"/>
        </w:rPr>
        <w:t xml:space="preserve">125 ir </w:t>
      </w:r>
      <w:r w:rsidRPr="00690D66">
        <w:rPr>
          <w:rFonts w:ascii="Arial" w:hAnsi="Arial" w:cs="Arial"/>
        </w:rPr>
        <w:t>148</w:t>
      </w:r>
      <w:r w:rsidR="005640AE" w:rsidRPr="00690D66">
        <w:rPr>
          <w:rFonts w:ascii="Arial" w:hAnsi="Arial" w:cs="Arial"/>
        </w:rPr>
        <w:t xml:space="preserve"> sandoriai</w:t>
      </w:r>
      <w:r w:rsidRPr="00690D66">
        <w:rPr>
          <w:rFonts w:ascii="Arial" w:hAnsi="Arial" w:cs="Arial"/>
        </w:rPr>
        <w:t xml:space="preserve">). Vis dėlto pritraukta gerokai daugiau kapitalo – lyginant metinius rezultatus investicijų vertė buvo net 41 proc. didesnė. </w:t>
      </w:r>
      <w:r w:rsidR="00186F73" w:rsidRPr="00690D66">
        <w:rPr>
          <w:rFonts w:ascii="Arial" w:hAnsi="Arial" w:cs="Arial"/>
        </w:rPr>
        <w:t>Kaip ryškiausius IPO atvejus Europoje galima paminėti šiuos: „</w:t>
      </w:r>
      <w:proofErr w:type="spellStart"/>
      <w:r w:rsidR="00186F73" w:rsidRPr="00690D66">
        <w:rPr>
          <w:rFonts w:ascii="Arial" w:hAnsi="Arial" w:cs="Arial"/>
        </w:rPr>
        <w:t>Puig</w:t>
      </w:r>
      <w:proofErr w:type="spellEnd"/>
      <w:r w:rsidR="00186F73" w:rsidRPr="00690D66">
        <w:rPr>
          <w:rFonts w:ascii="Arial" w:hAnsi="Arial" w:cs="Arial"/>
        </w:rPr>
        <w:t xml:space="preserve"> </w:t>
      </w:r>
      <w:proofErr w:type="spellStart"/>
      <w:r w:rsidR="00186F73" w:rsidRPr="00690D66">
        <w:rPr>
          <w:rFonts w:ascii="Arial" w:hAnsi="Arial" w:cs="Arial"/>
        </w:rPr>
        <w:t>Brands</w:t>
      </w:r>
      <w:proofErr w:type="spellEnd"/>
      <w:r w:rsidR="00186F73" w:rsidRPr="00690D66">
        <w:rPr>
          <w:rFonts w:ascii="Arial" w:hAnsi="Arial" w:cs="Arial"/>
        </w:rPr>
        <w:t xml:space="preserve"> SA“ pritraukė 2,9 mlrd. JAV dolerių, „</w:t>
      </w:r>
      <w:proofErr w:type="spellStart"/>
      <w:r w:rsidR="00186F73" w:rsidRPr="00690D66">
        <w:rPr>
          <w:rFonts w:ascii="Arial" w:hAnsi="Arial" w:cs="Arial"/>
        </w:rPr>
        <w:t>Galderma</w:t>
      </w:r>
      <w:proofErr w:type="spellEnd"/>
      <w:r w:rsidR="00186F73" w:rsidRPr="00690D66">
        <w:rPr>
          <w:rFonts w:ascii="Arial" w:hAnsi="Arial" w:cs="Arial"/>
        </w:rPr>
        <w:t xml:space="preserve"> Group AG“ – 2,6 mlrd. JAV dolerių, o „CVC </w:t>
      </w:r>
      <w:proofErr w:type="spellStart"/>
      <w:r w:rsidR="00186F73" w:rsidRPr="00690D66">
        <w:rPr>
          <w:rFonts w:ascii="Arial" w:hAnsi="Arial" w:cs="Arial"/>
        </w:rPr>
        <w:t>Capital</w:t>
      </w:r>
      <w:proofErr w:type="spellEnd"/>
      <w:r w:rsidR="00186F73" w:rsidRPr="00690D66">
        <w:rPr>
          <w:rFonts w:ascii="Arial" w:hAnsi="Arial" w:cs="Arial"/>
        </w:rPr>
        <w:t xml:space="preserve"> </w:t>
      </w:r>
      <w:proofErr w:type="spellStart"/>
      <w:r w:rsidR="00186F73" w:rsidRPr="00690D66">
        <w:rPr>
          <w:rFonts w:ascii="Arial" w:hAnsi="Arial" w:cs="Arial"/>
        </w:rPr>
        <w:t>Partners</w:t>
      </w:r>
      <w:proofErr w:type="spellEnd"/>
      <w:r w:rsidR="00186F73" w:rsidRPr="00690D66">
        <w:rPr>
          <w:rFonts w:ascii="Arial" w:hAnsi="Arial" w:cs="Arial"/>
        </w:rPr>
        <w:t xml:space="preserve"> </w:t>
      </w:r>
      <w:proofErr w:type="spellStart"/>
      <w:r w:rsidR="00186F73" w:rsidRPr="00690D66">
        <w:rPr>
          <w:rFonts w:ascii="Arial" w:hAnsi="Arial" w:cs="Arial"/>
        </w:rPr>
        <w:t>plc</w:t>
      </w:r>
      <w:proofErr w:type="spellEnd"/>
      <w:r w:rsidR="00186F73" w:rsidRPr="00690D66">
        <w:rPr>
          <w:rFonts w:ascii="Arial" w:hAnsi="Arial" w:cs="Arial"/>
        </w:rPr>
        <w:t>“ – 2,5 mlrd. JAV dolerių</w:t>
      </w:r>
      <w:r w:rsidR="00761E3F" w:rsidRPr="00690D66">
        <w:rPr>
          <w:rFonts w:ascii="Arial" w:hAnsi="Arial" w:cs="Arial"/>
        </w:rPr>
        <w:t>.</w:t>
      </w:r>
    </w:p>
    <w:p w14:paraId="2601BBE2" w14:textId="77777777" w:rsidR="00C60968" w:rsidRPr="00690D66" w:rsidRDefault="00C60968" w:rsidP="00C60968">
      <w:pPr>
        <w:jc w:val="both"/>
        <w:rPr>
          <w:rFonts w:ascii="Arial" w:hAnsi="Arial" w:cs="Arial"/>
        </w:rPr>
      </w:pPr>
    </w:p>
    <w:p w14:paraId="2B919423" w14:textId="504837DC" w:rsidR="00C60968" w:rsidRPr="00690D66" w:rsidRDefault="00C60968" w:rsidP="00C60968">
      <w:pPr>
        <w:jc w:val="both"/>
        <w:rPr>
          <w:rFonts w:ascii="Arial" w:hAnsi="Arial" w:cs="Arial"/>
        </w:rPr>
      </w:pPr>
      <w:r w:rsidRPr="00690D66">
        <w:rPr>
          <w:rFonts w:ascii="Arial" w:hAnsi="Arial" w:cs="Arial"/>
        </w:rPr>
        <w:t xml:space="preserve">Baltijos regionui palankia tendencija galima laikyti IPO suaktyvėjimą Šiaurės Europos šalyse. Skandinavijoje pernai įvyko 20 IPO – dvigubai daugiau negu prieš metus, o iš viso pritraukta </w:t>
      </w:r>
      <w:r w:rsidRPr="00690D66">
        <w:rPr>
          <w:rFonts w:ascii="Arial" w:hAnsi="Arial" w:cs="Arial"/>
        </w:rPr>
        <w:lastRenderedPageBreak/>
        <w:t xml:space="preserve">1,4 mlrd. JAV dolerių investicijų. Vidutinė sandorio apimtis sudaro apie 70 mln. JAV dolerių. Tai leidžia gretinti Šiaurės šalių ir Baltijos regiono verslų perspektyvas, nes 70 mln. JAV dolerių nėra išpūsta ambicija ir nepasiekiamas tikslas Lietuvoje, kurioje pastaraisiais metais užaugo technologijų vienaragiai. </w:t>
      </w:r>
      <w:r w:rsidR="00163A21" w:rsidRPr="00690D66">
        <w:rPr>
          <w:rFonts w:ascii="Arial" w:hAnsi="Arial" w:cs="Arial"/>
        </w:rPr>
        <w:t xml:space="preserve">Be to, </w:t>
      </w:r>
      <w:r w:rsidRPr="00690D66">
        <w:rPr>
          <w:rFonts w:ascii="Arial" w:hAnsi="Arial" w:cs="Arial"/>
        </w:rPr>
        <w:t>Baltijos šalių energetikos milžinės kapitalo rinkose yra pritraukusios daugiau lėšų.</w:t>
      </w:r>
    </w:p>
    <w:p w14:paraId="2342236A" w14:textId="77777777" w:rsidR="00C60968" w:rsidRPr="00690D66" w:rsidRDefault="00C60968" w:rsidP="00C60968">
      <w:pPr>
        <w:jc w:val="both"/>
        <w:rPr>
          <w:rFonts w:ascii="Arial" w:hAnsi="Arial" w:cs="Arial"/>
          <w:b/>
          <w:bCs/>
        </w:rPr>
      </w:pPr>
    </w:p>
    <w:p w14:paraId="3B5566D6" w14:textId="77777777" w:rsidR="00C60968" w:rsidRPr="00690D66" w:rsidRDefault="00C60968" w:rsidP="00C60968">
      <w:pPr>
        <w:jc w:val="both"/>
        <w:rPr>
          <w:rFonts w:ascii="Arial" w:hAnsi="Arial" w:cs="Arial"/>
          <w:b/>
          <w:bCs/>
        </w:rPr>
      </w:pPr>
      <w:r w:rsidRPr="00690D66">
        <w:rPr>
          <w:rFonts w:ascii="Arial" w:hAnsi="Arial" w:cs="Arial"/>
          <w:b/>
          <w:bCs/>
        </w:rPr>
        <w:t>Laimėjo investuotojai, kurie pirko iškart</w:t>
      </w:r>
    </w:p>
    <w:p w14:paraId="5656E49A" w14:textId="77777777" w:rsidR="00C60968" w:rsidRPr="00690D66" w:rsidRDefault="00C60968" w:rsidP="00C60968">
      <w:pPr>
        <w:jc w:val="both"/>
        <w:rPr>
          <w:rFonts w:ascii="Arial" w:hAnsi="Arial" w:cs="Arial"/>
        </w:rPr>
      </w:pPr>
    </w:p>
    <w:p w14:paraId="5E8CBF03" w14:textId="3DDA185B" w:rsidR="00C60968" w:rsidRPr="00690D66" w:rsidRDefault="00755346" w:rsidP="00C60968">
      <w:pPr>
        <w:jc w:val="both"/>
        <w:rPr>
          <w:rFonts w:ascii="Arial" w:hAnsi="Arial" w:cs="Arial"/>
        </w:rPr>
      </w:pPr>
      <w:r w:rsidRPr="00690D66">
        <w:rPr>
          <w:rFonts w:ascii="Arial" w:hAnsi="Arial" w:cs="Arial"/>
        </w:rPr>
        <w:t>V</w:t>
      </w:r>
      <w:r w:rsidR="00C60968" w:rsidRPr="00690D66">
        <w:rPr>
          <w:rFonts w:ascii="Arial" w:hAnsi="Arial" w:cs="Arial"/>
        </w:rPr>
        <w:t>isada iškyla klausimas,</w:t>
      </w:r>
      <w:r w:rsidRPr="00690D66">
        <w:rPr>
          <w:rFonts w:ascii="Arial" w:hAnsi="Arial" w:cs="Arial"/>
        </w:rPr>
        <w:t xml:space="preserve"> o</w:t>
      </w:r>
      <w:r w:rsidR="00C60968" w:rsidRPr="00690D66">
        <w:rPr>
          <w:rFonts w:ascii="Arial" w:hAnsi="Arial" w:cs="Arial"/>
        </w:rPr>
        <w:t xml:space="preserve"> kaip sekėsi IPO sandorių akcijoms, kai siūlymų terminai pasibaigė. Akcijų kainų svyravimai, fiksuojami po bendrovės žingsnio į biržą, dažnai parodo, kiek tikslūs buvo išankstiniai vertinimai ir kaip rinka įvertino verslo potencialą. </w:t>
      </w:r>
    </w:p>
    <w:p w14:paraId="5888B27A" w14:textId="77777777" w:rsidR="00C60968" w:rsidRPr="00690D66" w:rsidRDefault="00C60968" w:rsidP="00C60968">
      <w:pPr>
        <w:jc w:val="both"/>
        <w:rPr>
          <w:rFonts w:ascii="Arial" w:hAnsi="Arial" w:cs="Arial"/>
        </w:rPr>
      </w:pPr>
    </w:p>
    <w:p w14:paraId="0F33CABD" w14:textId="77777777" w:rsidR="00C60968" w:rsidRPr="00690D66" w:rsidRDefault="00C60968" w:rsidP="00C60968">
      <w:pPr>
        <w:jc w:val="both"/>
        <w:rPr>
          <w:rFonts w:ascii="Arial" w:hAnsi="Arial" w:cs="Arial"/>
        </w:rPr>
      </w:pPr>
      <w:r w:rsidRPr="00690D66">
        <w:rPr>
          <w:rFonts w:ascii="Arial" w:hAnsi="Arial" w:cs="Arial"/>
        </w:rPr>
        <w:t xml:space="preserve">Iš metinių duomenų galima konstatuoti, kad JAV rinkose investuotojams apsimokėjo investuoti į IPO sandorius būtent jų įtraukimo į biržos prekybos sąrašus metu: metų pabaigoje pernykščių IPO įmonių akcijos buvo vidutiniškai pabrangusios 46 procentais. </w:t>
      </w:r>
    </w:p>
    <w:p w14:paraId="64DDFF0C" w14:textId="77777777" w:rsidR="00980F03" w:rsidRPr="00690D66" w:rsidRDefault="00980F03" w:rsidP="00C60968">
      <w:pPr>
        <w:jc w:val="both"/>
        <w:rPr>
          <w:rFonts w:ascii="Arial" w:hAnsi="Arial" w:cs="Arial"/>
        </w:rPr>
      </w:pPr>
    </w:p>
    <w:p w14:paraId="50F57506" w14:textId="77777777" w:rsidR="00C60968" w:rsidRPr="00690D66" w:rsidRDefault="00C60968" w:rsidP="00C60968">
      <w:pPr>
        <w:jc w:val="both"/>
        <w:rPr>
          <w:rFonts w:ascii="Arial" w:hAnsi="Arial" w:cs="Arial"/>
        </w:rPr>
      </w:pPr>
      <w:r w:rsidRPr="00690D66">
        <w:rPr>
          <w:rFonts w:ascii="Arial" w:hAnsi="Arial" w:cs="Arial"/>
        </w:rPr>
        <w:t xml:space="preserve">Europos rinkose, išskyrus Jungtinę Karalystę, fiksuotas vidutinis 20,6 proc. pabrangimas. Bendra kainų augimo tendencija atspindi investuotojų optimizmą. Kita vertus, IPO planuojančioms įmonėms tai rodo apie investuotojų lūkesčius gauti greito pelno. </w:t>
      </w:r>
    </w:p>
    <w:p w14:paraId="73974224" w14:textId="77777777" w:rsidR="00C60968" w:rsidRPr="00690D66" w:rsidRDefault="00C60968" w:rsidP="00C60968">
      <w:pPr>
        <w:jc w:val="both"/>
        <w:rPr>
          <w:rFonts w:ascii="Arial" w:hAnsi="Arial" w:cs="Arial"/>
        </w:rPr>
      </w:pPr>
    </w:p>
    <w:p w14:paraId="0CD14C8D" w14:textId="152EF6D7" w:rsidR="00C60968" w:rsidRPr="00690D66" w:rsidRDefault="00225390" w:rsidP="00C60968">
      <w:pPr>
        <w:jc w:val="both"/>
        <w:rPr>
          <w:rFonts w:ascii="Arial" w:hAnsi="Arial" w:cs="Arial"/>
          <w:b/>
          <w:bCs/>
        </w:rPr>
      </w:pPr>
      <w:r w:rsidRPr="00690D66">
        <w:rPr>
          <w:rFonts w:ascii="Arial" w:hAnsi="Arial" w:cs="Arial"/>
          <w:b/>
          <w:bCs/>
        </w:rPr>
        <w:t>K</w:t>
      </w:r>
      <w:r w:rsidR="00C60968" w:rsidRPr="00690D66">
        <w:rPr>
          <w:rFonts w:ascii="Arial" w:hAnsi="Arial" w:cs="Arial"/>
          <w:b/>
          <w:bCs/>
        </w:rPr>
        <w:t>iekvienam proveržiui reikia pastangų</w:t>
      </w:r>
    </w:p>
    <w:p w14:paraId="54727F3C" w14:textId="77777777" w:rsidR="00C60968" w:rsidRPr="00690D66" w:rsidRDefault="00C60968" w:rsidP="00C60968">
      <w:pPr>
        <w:jc w:val="both"/>
        <w:rPr>
          <w:rFonts w:ascii="Arial" w:hAnsi="Arial" w:cs="Arial"/>
        </w:rPr>
      </w:pPr>
    </w:p>
    <w:p w14:paraId="2F46F8A7" w14:textId="5DE015CA" w:rsidR="0047652E" w:rsidRPr="00690D66" w:rsidRDefault="00850CAB" w:rsidP="00C60968">
      <w:pPr>
        <w:jc w:val="both"/>
        <w:rPr>
          <w:rFonts w:ascii="Arial" w:hAnsi="Arial" w:cs="Arial"/>
        </w:rPr>
      </w:pPr>
      <w:r w:rsidRPr="00690D66">
        <w:rPr>
          <w:rFonts w:ascii="Arial" w:hAnsi="Arial" w:cs="Arial"/>
        </w:rPr>
        <w:t xml:space="preserve">Taigi ko galima tikėtis 2025-aisiais? </w:t>
      </w:r>
    </w:p>
    <w:p w14:paraId="1020C0B9" w14:textId="77777777" w:rsidR="0086233C" w:rsidRPr="00690D66" w:rsidRDefault="0086233C" w:rsidP="00C60968">
      <w:pPr>
        <w:jc w:val="both"/>
        <w:rPr>
          <w:rFonts w:ascii="Arial" w:hAnsi="Arial" w:cs="Arial"/>
        </w:rPr>
      </w:pPr>
    </w:p>
    <w:p w14:paraId="4787FB9C" w14:textId="0BA0970E" w:rsidR="00C60968" w:rsidRPr="00690D66" w:rsidRDefault="00446BF6" w:rsidP="00C60968">
      <w:pPr>
        <w:jc w:val="both"/>
        <w:rPr>
          <w:rFonts w:ascii="Arial" w:hAnsi="Arial" w:cs="Arial"/>
        </w:rPr>
      </w:pPr>
      <w:r w:rsidRPr="00690D66">
        <w:rPr>
          <w:rFonts w:ascii="Arial" w:hAnsi="Arial" w:cs="Arial"/>
        </w:rPr>
        <w:t xml:space="preserve">Panašu, kad pernai IPO rinkose dažnai buvo kalbama apie pasiruošimą ir laukimą, o šiemet šias kalbas keis aiškesni veiksmų planai. </w:t>
      </w:r>
      <w:r w:rsidR="00C60968" w:rsidRPr="00690D66">
        <w:rPr>
          <w:rFonts w:ascii="Arial" w:hAnsi="Arial" w:cs="Arial"/>
        </w:rPr>
        <w:t xml:space="preserve">Infliacijos mažėjimas atveria vis geresnes galimybes pigiau pritraukti kapitalo. IPO rinkoms yra naudinga, kai investuotojai aktyviau ieško investicinės grąžos, ekonominė aplinka leidžia bendrovėms pozityviau vertinti augimą, o bendras noras rizikuoti didėja. </w:t>
      </w:r>
    </w:p>
    <w:p w14:paraId="46CC6F35" w14:textId="77777777" w:rsidR="00C60968" w:rsidRPr="00690D66" w:rsidRDefault="00C60968" w:rsidP="00C60968">
      <w:pPr>
        <w:jc w:val="both"/>
        <w:rPr>
          <w:rFonts w:ascii="Arial" w:hAnsi="Arial" w:cs="Arial"/>
        </w:rPr>
      </w:pPr>
    </w:p>
    <w:p w14:paraId="2BD30E6F" w14:textId="3BECB15B" w:rsidR="00C60968" w:rsidRPr="00690D66" w:rsidRDefault="00C60968" w:rsidP="00C60968">
      <w:pPr>
        <w:jc w:val="both"/>
        <w:rPr>
          <w:rFonts w:ascii="Arial" w:hAnsi="Arial" w:cs="Arial"/>
        </w:rPr>
      </w:pPr>
      <w:r w:rsidRPr="00690D66">
        <w:rPr>
          <w:rFonts w:ascii="Arial" w:hAnsi="Arial" w:cs="Arial"/>
        </w:rPr>
        <w:t xml:space="preserve">Be abejo, IPO svarbi ne tik bendra rinkos aplinka. Siūlymus ketinančios rengti įmonės turi sugebėti įrodyti, kad jų verslo modelis </w:t>
      </w:r>
      <w:r w:rsidR="001061A9" w:rsidRPr="00690D66">
        <w:rPr>
          <w:rFonts w:ascii="Arial" w:hAnsi="Arial" w:cs="Arial"/>
        </w:rPr>
        <w:t xml:space="preserve">yra tvarus ir </w:t>
      </w:r>
      <w:r w:rsidRPr="00690D66">
        <w:rPr>
          <w:rFonts w:ascii="Arial" w:hAnsi="Arial" w:cs="Arial"/>
        </w:rPr>
        <w:t>pajėgus generuoti laisvus pinigų srautus ir gauti naudos iš geresnių ekonominių sąlygų. Geriausių rezultatų pasiek</w:t>
      </w:r>
      <w:r w:rsidR="001935E5" w:rsidRPr="00690D66">
        <w:rPr>
          <w:rFonts w:ascii="Arial" w:hAnsi="Arial" w:cs="Arial"/>
        </w:rPr>
        <w:t>s tos</w:t>
      </w:r>
      <w:r w:rsidRPr="00690D66">
        <w:rPr>
          <w:rFonts w:ascii="Arial" w:hAnsi="Arial" w:cs="Arial"/>
        </w:rPr>
        <w:t xml:space="preserve"> įmonės, kurios užtikrin</w:t>
      </w:r>
      <w:r w:rsidR="001935E5" w:rsidRPr="00690D66">
        <w:rPr>
          <w:rFonts w:ascii="Arial" w:hAnsi="Arial" w:cs="Arial"/>
        </w:rPr>
        <w:t>s</w:t>
      </w:r>
      <w:r w:rsidRPr="00690D66">
        <w:rPr>
          <w:rFonts w:ascii="Arial" w:hAnsi="Arial" w:cs="Arial"/>
        </w:rPr>
        <w:t xml:space="preserve"> investuotojus dėl dviejų </w:t>
      </w:r>
      <w:r w:rsidR="0049187E" w:rsidRPr="00690D66">
        <w:rPr>
          <w:rFonts w:ascii="Arial" w:hAnsi="Arial" w:cs="Arial"/>
        </w:rPr>
        <w:t xml:space="preserve">pagrindinių </w:t>
      </w:r>
      <w:r w:rsidRPr="00690D66">
        <w:rPr>
          <w:rFonts w:ascii="Arial" w:hAnsi="Arial" w:cs="Arial"/>
        </w:rPr>
        <w:t xml:space="preserve">dalykų: pirma, kad jų produktų ar paslaugų paklausa augs, antra, vartotojai bus pasirengę už tai mokėti vis daugiau. </w:t>
      </w:r>
    </w:p>
    <w:p w14:paraId="5ADD8B6B" w14:textId="77777777" w:rsidR="00C60968" w:rsidRPr="00690D66" w:rsidRDefault="00C60968" w:rsidP="00C60968">
      <w:pPr>
        <w:jc w:val="both"/>
        <w:rPr>
          <w:rFonts w:ascii="Arial" w:hAnsi="Arial" w:cs="Arial"/>
        </w:rPr>
      </w:pPr>
    </w:p>
    <w:p w14:paraId="10FE6BF9" w14:textId="234D3796" w:rsidR="001935E5" w:rsidRPr="00690D66" w:rsidRDefault="001935E5" w:rsidP="00C60968">
      <w:pPr>
        <w:jc w:val="both"/>
        <w:rPr>
          <w:rFonts w:ascii="Arial" w:hAnsi="Arial" w:cs="Arial"/>
        </w:rPr>
      </w:pPr>
      <w:r w:rsidRPr="00690D66">
        <w:rPr>
          <w:rFonts w:ascii="Arial" w:hAnsi="Arial" w:cs="Arial"/>
        </w:rPr>
        <w:t xml:space="preserve">Dažnai sakoma, kad kylantis potvynio vanduo pakelia visas valtis, </w:t>
      </w:r>
      <w:r w:rsidR="00CB31FF" w:rsidRPr="00690D66">
        <w:rPr>
          <w:rFonts w:ascii="Arial" w:hAnsi="Arial" w:cs="Arial"/>
        </w:rPr>
        <w:t>bet</w:t>
      </w:r>
      <w:r w:rsidRPr="00690D66">
        <w:rPr>
          <w:rFonts w:ascii="Arial" w:hAnsi="Arial" w:cs="Arial"/>
        </w:rPr>
        <w:t xml:space="preserve"> finansų rinkose ne visos „valtys“ pakyla vienodai aukštai.</w:t>
      </w:r>
      <w:r w:rsidR="009A4ECE" w:rsidRPr="00690D66">
        <w:rPr>
          <w:rFonts w:ascii="Arial" w:hAnsi="Arial" w:cs="Arial"/>
        </w:rPr>
        <w:t xml:space="preserve"> </w:t>
      </w:r>
      <w:r w:rsidR="00CF15EC" w:rsidRPr="00690D66">
        <w:rPr>
          <w:rFonts w:ascii="Arial" w:hAnsi="Arial" w:cs="Arial"/>
        </w:rPr>
        <w:t xml:space="preserve">Bus įdomu stebėti, kas šiemet </w:t>
      </w:r>
      <w:r w:rsidR="00D2488D" w:rsidRPr="00690D66">
        <w:rPr>
          <w:rFonts w:ascii="Arial" w:hAnsi="Arial" w:cs="Arial"/>
        </w:rPr>
        <w:t xml:space="preserve">IPO rinkose </w:t>
      </w:r>
      <w:r w:rsidR="00CF15EC" w:rsidRPr="00690D66">
        <w:rPr>
          <w:rFonts w:ascii="Arial" w:hAnsi="Arial" w:cs="Arial"/>
        </w:rPr>
        <w:t>pakils aukščiausiai.</w:t>
      </w:r>
    </w:p>
    <w:p w14:paraId="1C625834" w14:textId="77777777" w:rsidR="00957F3E" w:rsidRPr="00690D66" w:rsidRDefault="00957F3E" w:rsidP="00957F3E">
      <w:pPr>
        <w:jc w:val="both"/>
        <w:rPr>
          <w:rFonts w:ascii="Arial" w:hAnsi="Arial" w:cs="Arial"/>
          <w:sz w:val="18"/>
          <w:szCs w:val="18"/>
        </w:rPr>
      </w:pPr>
    </w:p>
    <w:p w14:paraId="3F86D07A" w14:textId="77777777" w:rsidR="00C131A5" w:rsidRPr="00690D66" w:rsidRDefault="00C131A5" w:rsidP="00C131A5">
      <w:pPr>
        <w:spacing w:after="120" w:line="260" w:lineRule="atLeast"/>
        <w:jc w:val="both"/>
        <w:rPr>
          <w:rFonts w:ascii="Arial" w:hAnsi="Arial" w:cs="Arial"/>
          <w:b/>
          <w:bCs/>
          <w:color w:val="000000"/>
          <w:spacing w:val="-3"/>
          <w:sz w:val="18"/>
          <w:szCs w:val="18"/>
          <w:lang w:eastAsia="en-AU"/>
        </w:rPr>
      </w:pPr>
      <w:r w:rsidRPr="00690D66">
        <w:rPr>
          <w:rFonts w:ascii="Arial" w:hAnsi="Arial" w:cs="Arial"/>
          <w:b/>
          <w:bCs/>
          <w:color w:val="000000"/>
          <w:spacing w:val="-3"/>
          <w:sz w:val="18"/>
          <w:szCs w:val="18"/>
          <w:lang w:eastAsia="en-AU"/>
        </w:rPr>
        <w:t>Daugiau informacijos:</w:t>
      </w:r>
    </w:p>
    <w:p w14:paraId="31F8B9BA" w14:textId="77777777" w:rsidR="00C131A5" w:rsidRPr="00690D66" w:rsidRDefault="00C131A5" w:rsidP="00C131A5">
      <w:pPr>
        <w:rPr>
          <w:rFonts w:ascii="Arial" w:hAnsi="Arial" w:cs="Arial"/>
          <w:b/>
          <w:bCs/>
          <w:color w:val="000000"/>
          <w:sz w:val="18"/>
          <w:szCs w:val="18"/>
        </w:rPr>
      </w:pPr>
      <w:r w:rsidRPr="00690D66">
        <w:rPr>
          <w:rFonts w:ascii="Arial" w:hAnsi="Arial" w:cs="Arial"/>
          <w:b/>
          <w:bCs/>
          <w:color w:val="000000"/>
          <w:sz w:val="18"/>
          <w:szCs w:val="18"/>
        </w:rPr>
        <w:t xml:space="preserve">Ernesta </w:t>
      </w:r>
      <w:proofErr w:type="spellStart"/>
      <w:r w:rsidRPr="00690D66">
        <w:rPr>
          <w:rFonts w:ascii="Arial" w:hAnsi="Arial" w:cs="Arial"/>
          <w:b/>
          <w:bCs/>
          <w:color w:val="000000"/>
          <w:sz w:val="18"/>
          <w:szCs w:val="18"/>
        </w:rPr>
        <w:t>Vinevičiūtė</w:t>
      </w:r>
      <w:proofErr w:type="spellEnd"/>
    </w:p>
    <w:p w14:paraId="2DF9F382" w14:textId="77777777" w:rsidR="00C131A5" w:rsidRPr="00690D66" w:rsidRDefault="00C131A5" w:rsidP="00C131A5">
      <w:pPr>
        <w:rPr>
          <w:rFonts w:ascii="Arial" w:hAnsi="Arial" w:cs="Arial"/>
          <w:color w:val="000000"/>
          <w:sz w:val="18"/>
          <w:szCs w:val="18"/>
        </w:rPr>
      </w:pPr>
      <w:r w:rsidRPr="00690D66">
        <w:rPr>
          <w:rFonts w:ascii="Arial" w:hAnsi="Arial" w:cs="Arial"/>
          <w:color w:val="000000"/>
          <w:sz w:val="18"/>
          <w:szCs w:val="18"/>
        </w:rPr>
        <w:t xml:space="preserve">UAB </w:t>
      </w:r>
      <w:r w:rsidRPr="00690D66">
        <w:rPr>
          <w:rFonts w:ascii="Arial" w:hAnsi="Arial" w:cs="Arial"/>
          <w:color w:val="000000"/>
          <w:spacing w:val="-3"/>
          <w:sz w:val="18"/>
          <w:szCs w:val="18"/>
          <w:lang w:eastAsia="en-AU"/>
        </w:rPr>
        <w:t>„</w:t>
      </w:r>
      <w:r w:rsidRPr="00690D66">
        <w:rPr>
          <w:rFonts w:ascii="Arial" w:hAnsi="Arial" w:cs="Arial"/>
          <w:color w:val="000000"/>
          <w:sz w:val="18"/>
          <w:szCs w:val="18"/>
        </w:rPr>
        <w:t xml:space="preserve">Ernst &amp; Young Baltic” </w:t>
      </w:r>
    </w:p>
    <w:p w14:paraId="68FF7B05" w14:textId="77777777" w:rsidR="00C131A5" w:rsidRPr="00690D66" w:rsidRDefault="00C131A5" w:rsidP="00C131A5">
      <w:pPr>
        <w:rPr>
          <w:rFonts w:ascii="Arial" w:hAnsi="Arial" w:cs="Arial"/>
          <w:color w:val="000000"/>
          <w:sz w:val="18"/>
          <w:szCs w:val="18"/>
        </w:rPr>
      </w:pPr>
      <w:r w:rsidRPr="00690D66">
        <w:rPr>
          <w:rFonts w:ascii="Arial" w:hAnsi="Arial" w:cs="Arial"/>
          <w:color w:val="000000"/>
          <w:sz w:val="18"/>
          <w:szCs w:val="18"/>
        </w:rPr>
        <w:t>Tel.: 370 615 28776</w:t>
      </w:r>
    </w:p>
    <w:p w14:paraId="2C1F62E2" w14:textId="77777777" w:rsidR="00C131A5" w:rsidRPr="00690D66" w:rsidRDefault="00C131A5" w:rsidP="00C131A5">
      <w:pPr>
        <w:rPr>
          <w:rStyle w:val="Hyperlink"/>
          <w:rFonts w:ascii="Arial" w:hAnsi="Arial" w:cs="Arial"/>
          <w:sz w:val="18"/>
          <w:szCs w:val="18"/>
        </w:rPr>
      </w:pPr>
      <w:r w:rsidRPr="00690D66">
        <w:rPr>
          <w:rStyle w:val="apple-converted-space"/>
          <w:rFonts w:ascii="Arial" w:hAnsi="Arial" w:cs="Arial"/>
          <w:color w:val="000000"/>
          <w:sz w:val="18"/>
          <w:szCs w:val="18"/>
        </w:rPr>
        <w:t>El. pastas: </w:t>
      </w:r>
      <w:hyperlink r:id="rId10" w:history="1">
        <w:r w:rsidRPr="00690D66">
          <w:rPr>
            <w:rStyle w:val="Hyperlink"/>
            <w:rFonts w:ascii="Arial" w:hAnsi="Arial" w:cs="Arial"/>
            <w:sz w:val="18"/>
            <w:szCs w:val="18"/>
          </w:rPr>
          <w:t>Ernesta.Vineviciute@lt.ey.com</w:t>
        </w:r>
      </w:hyperlink>
      <w:r w:rsidRPr="00690D66">
        <w:rPr>
          <w:rStyle w:val="Hyperlink"/>
          <w:rFonts w:ascii="Arial" w:hAnsi="Arial" w:cs="Arial"/>
          <w:sz w:val="18"/>
          <w:szCs w:val="18"/>
        </w:rPr>
        <w:t xml:space="preserve"> </w:t>
      </w:r>
    </w:p>
    <w:p w14:paraId="4B213970" w14:textId="77777777" w:rsidR="00C131A5" w:rsidRPr="00690D66" w:rsidRDefault="00C131A5" w:rsidP="00C131A5">
      <w:pPr>
        <w:rPr>
          <w:rStyle w:val="Hyperlink"/>
          <w:rFonts w:ascii="Arial" w:hAnsi="Arial" w:cs="Arial"/>
          <w:sz w:val="18"/>
          <w:szCs w:val="18"/>
        </w:rPr>
      </w:pPr>
    </w:p>
    <w:p w14:paraId="54A56683" w14:textId="77777777" w:rsidR="00C131A5" w:rsidRPr="00690D66" w:rsidRDefault="00C131A5" w:rsidP="00C131A5">
      <w:pPr>
        <w:spacing w:after="120" w:line="260" w:lineRule="atLeast"/>
        <w:jc w:val="both"/>
        <w:rPr>
          <w:rFonts w:ascii="Arial" w:eastAsia="Arial" w:hAnsi="Arial" w:cs="Arial"/>
          <w:color w:val="000000" w:themeColor="text1"/>
          <w:sz w:val="18"/>
          <w:szCs w:val="18"/>
        </w:rPr>
      </w:pPr>
      <w:r w:rsidRPr="00690D66">
        <w:rPr>
          <w:rFonts w:ascii="Arial" w:eastAsia="Arial" w:hAnsi="Arial" w:cs="Arial"/>
          <w:b/>
          <w:bCs/>
          <w:color w:val="000000" w:themeColor="text1"/>
          <w:sz w:val="18"/>
          <w:szCs w:val="18"/>
        </w:rPr>
        <w:t>Apie EY:</w:t>
      </w:r>
    </w:p>
    <w:p w14:paraId="685A8DD9" w14:textId="77777777" w:rsidR="00C131A5" w:rsidRPr="00690D66" w:rsidRDefault="00C131A5" w:rsidP="00C131A5">
      <w:pPr>
        <w:rPr>
          <w:rFonts w:ascii="Arial" w:hAnsi="Arial" w:cs="Arial"/>
          <w:color w:val="000000"/>
          <w:sz w:val="12"/>
          <w:szCs w:val="12"/>
        </w:rPr>
      </w:pPr>
    </w:p>
    <w:p w14:paraId="7500AB00" w14:textId="77777777" w:rsidR="00C131A5" w:rsidRPr="00690D66" w:rsidRDefault="00C131A5" w:rsidP="00C131A5">
      <w:pPr>
        <w:jc w:val="both"/>
        <w:rPr>
          <w:rFonts w:ascii="Arial" w:eastAsia="Arial" w:hAnsi="Arial" w:cs="Arial"/>
          <w:color w:val="212121"/>
          <w:sz w:val="18"/>
          <w:szCs w:val="18"/>
        </w:rPr>
      </w:pPr>
      <w:r w:rsidRPr="00690D66">
        <w:rPr>
          <w:rFonts w:ascii="Arial" w:eastAsia="Arial" w:hAnsi="Arial" w:cs="Arial"/>
          <w:color w:val="212121"/>
          <w:sz w:val="18"/>
          <w:szCs w:val="18"/>
        </w:rPr>
        <w:t xml:space="preserve">EY | Kuriame veiksmingesnį pasaulį </w:t>
      </w:r>
    </w:p>
    <w:p w14:paraId="35AD11CB" w14:textId="77777777" w:rsidR="00C131A5" w:rsidRPr="00690D66" w:rsidRDefault="00C131A5" w:rsidP="00C131A5">
      <w:pPr>
        <w:jc w:val="both"/>
        <w:rPr>
          <w:rFonts w:ascii="Arial" w:eastAsia="Arial" w:hAnsi="Arial" w:cs="Arial"/>
          <w:color w:val="212121"/>
          <w:sz w:val="18"/>
          <w:szCs w:val="18"/>
        </w:rPr>
      </w:pPr>
      <w:r w:rsidRPr="00690D66">
        <w:rPr>
          <w:rFonts w:ascii="Arial" w:eastAsia="Arial" w:hAnsi="Arial" w:cs="Arial"/>
          <w:color w:val="212121"/>
          <w:sz w:val="18"/>
          <w:szCs w:val="18"/>
        </w:rPr>
        <w:t xml:space="preserve"> </w:t>
      </w:r>
    </w:p>
    <w:p w14:paraId="4B9056B6" w14:textId="77777777" w:rsidR="00C131A5" w:rsidRPr="00690D66" w:rsidRDefault="00C131A5" w:rsidP="00C131A5">
      <w:pPr>
        <w:jc w:val="both"/>
        <w:rPr>
          <w:rFonts w:ascii="Arial" w:eastAsia="Arial" w:hAnsi="Arial" w:cs="Arial"/>
          <w:color w:val="212121"/>
          <w:sz w:val="18"/>
          <w:szCs w:val="18"/>
        </w:rPr>
      </w:pPr>
      <w:r w:rsidRPr="00690D66">
        <w:rPr>
          <w:rFonts w:ascii="Arial" w:eastAsia="Arial" w:hAnsi="Arial" w:cs="Arial"/>
          <w:color w:val="212121"/>
          <w:sz w:val="18"/>
          <w:szCs w:val="18"/>
        </w:rPr>
        <w:t xml:space="preserve">EY kuria veiksmingesnį pasaulį - naują vertę klientams, darbuotojams, bendruomenei ir visai planetai, kartu stiprindama pasitikėjimą kapitalo rinka. </w:t>
      </w:r>
    </w:p>
    <w:p w14:paraId="7B5B6645" w14:textId="77777777" w:rsidR="00C131A5" w:rsidRPr="00690D66" w:rsidRDefault="00C131A5" w:rsidP="00C131A5">
      <w:pPr>
        <w:jc w:val="both"/>
        <w:rPr>
          <w:rFonts w:ascii="Arial" w:eastAsia="Arial" w:hAnsi="Arial" w:cs="Arial"/>
          <w:color w:val="212121"/>
          <w:sz w:val="18"/>
          <w:szCs w:val="18"/>
        </w:rPr>
      </w:pPr>
      <w:r w:rsidRPr="00690D66">
        <w:rPr>
          <w:rFonts w:ascii="Arial" w:eastAsia="Arial" w:hAnsi="Arial" w:cs="Arial"/>
          <w:color w:val="212121"/>
          <w:sz w:val="18"/>
          <w:szCs w:val="18"/>
        </w:rPr>
        <w:lastRenderedPageBreak/>
        <w:t xml:space="preserve"> </w:t>
      </w:r>
    </w:p>
    <w:p w14:paraId="7C6F6351" w14:textId="77777777" w:rsidR="00C131A5" w:rsidRPr="00690D66" w:rsidRDefault="00C131A5" w:rsidP="00C131A5">
      <w:pPr>
        <w:jc w:val="both"/>
        <w:rPr>
          <w:rFonts w:ascii="Arial" w:eastAsia="Arial" w:hAnsi="Arial" w:cs="Arial"/>
          <w:color w:val="212121"/>
          <w:sz w:val="18"/>
          <w:szCs w:val="18"/>
        </w:rPr>
      </w:pPr>
      <w:r w:rsidRPr="00690D66">
        <w:rPr>
          <w:rFonts w:ascii="Arial" w:eastAsia="Arial" w:hAnsi="Arial" w:cs="Arial"/>
          <w:color w:val="212121"/>
          <w:sz w:val="18"/>
          <w:szCs w:val="18"/>
        </w:rPr>
        <w:t xml:space="preserve">Duomenų, dirbtinio intelekto ir pažangiųjų technologijų įgalintos EY specialistų komandos padeda klientams užtikrintai kurti ateitį ir rasti atsakymus į aktualius šiandienos ir rytojaus klausimus. </w:t>
      </w:r>
    </w:p>
    <w:p w14:paraId="58421D2D" w14:textId="77777777" w:rsidR="00C131A5" w:rsidRPr="00690D66" w:rsidRDefault="00C131A5" w:rsidP="00C131A5">
      <w:pPr>
        <w:jc w:val="both"/>
        <w:rPr>
          <w:rFonts w:ascii="Arial" w:eastAsia="Arial" w:hAnsi="Arial" w:cs="Arial"/>
          <w:color w:val="212121"/>
          <w:sz w:val="18"/>
          <w:szCs w:val="18"/>
        </w:rPr>
      </w:pPr>
      <w:r w:rsidRPr="00690D66">
        <w:rPr>
          <w:rFonts w:ascii="Arial" w:eastAsia="Arial" w:hAnsi="Arial" w:cs="Arial"/>
          <w:color w:val="212121"/>
          <w:sz w:val="18"/>
          <w:szCs w:val="18"/>
        </w:rPr>
        <w:t xml:space="preserve"> </w:t>
      </w:r>
    </w:p>
    <w:p w14:paraId="7B661FD6" w14:textId="77777777" w:rsidR="00C131A5" w:rsidRPr="00690D66" w:rsidRDefault="00C131A5" w:rsidP="00C131A5">
      <w:pPr>
        <w:jc w:val="both"/>
        <w:rPr>
          <w:rFonts w:ascii="Arial" w:eastAsia="Arial" w:hAnsi="Arial" w:cs="Arial"/>
          <w:color w:val="212121"/>
          <w:sz w:val="18"/>
          <w:szCs w:val="18"/>
        </w:rPr>
      </w:pPr>
      <w:r w:rsidRPr="00690D66">
        <w:rPr>
          <w:rFonts w:ascii="Arial" w:eastAsia="Arial" w:hAnsi="Arial" w:cs="Arial"/>
          <w:color w:val="212121"/>
          <w:sz w:val="18"/>
          <w:szCs w:val="18"/>
        </w:rPr>
        <w:t xml:space="preserve">EY komandos teikia visą spektrą paslaugų audito, mokesčių, verslo strategijos, sandorių ir konsultacijų srityse. Pasitelkdama savo pasaulinio profesinių paslaugų tinklo ekspertus ir kitus verslo partnerius, remdamasi ūkio šakų įžvalgomis, EY teikia paslaugas daugiau nei 150 šalių ir teritorijų. </w:t>
      </w:r>
    </w:p>
    <w:p w14:paraId="17E04271" w14:textId="77777777" w:rsidR="00C131A5" w:rsidRPr="00690D66" w:rsidRDefault="00C131A5" w:rsidP="00C131A5">
      <w:pPr>
        <w:jc w:val="both"/>
        <w:rPr>
          <w:rFonts w:ascii="Arial" w:eastAsia="Arial" w:hAnsi="Arial" w:cs="Arial"/>
          <w:b/>
          <w:bCs/>
          <w:color w:val="212121"/>
          <w:sz w:val="18"/>
          <w:szCs w:val="18"/>
        </w:rPr>
      </w:pPr>
      <w:r w:rsidRPr="00690D66">
        <w:rPr>
          <w:rFonts w:ascii="Arial" w:eastAsia="Arial" w:hAnsi="Arial" w:cs="Arial"/>
          <w:b/>
          <w:bCs/>
          <w:color w:val="212121"/>
          <w:sz w:val="18"/>
          <w:szCs w:val="18"/>
        </w:rPr>
        <w:t xml:space="preserve"> </w:t>
      </w:r>
    </w:p>
    <w:p w14:paraId="11619988" w14:textId="77777777" w:rsidR="00C131A5" w:rsidRPr="00690D66" w:rsidRDefault="00C131A5" w:rsidP="00C131A5">
      <w:pPr>
        <w:jc w:val="both"/>
        <w:rPr>
          <w:rFonts w:ascii="Arial" w:eastAsia="Arial" w:hAnsi="Arial" w:cs="Arial"/>
          <w:color w:val="212121"/>
          <w:sz w:val="18"/>
          <w:szCs w:val="18"/>
        </w:rPr>
      </w:pPr>
      <w:r w:rsidRPr="00690D66">
        <w:rPr>
          <w:rFonts w:ascii="Arial" w:eastAsia="Arial" w:hAnsi="Arial" w:cs="Arial"/>
          <w:b/>
          <w:bCs/>
          <w:color w:val="212121"/>
          <w:sz w:val="18"/>
          <w:szCs w:val="18"/>
        </w:rPr>
        <w:t>Kartu užtikrintai kuriame ateitį.</w:t>
      </w:r>
      <w:r w:rsidRPr="00690D66">
        <w:rPr>
          <w:rFonts w:ascii="Arial" w:eastAsia="Arial" w:hAnsi="Arial" w:cs="Arial"/>
          <w:color w:val="212121"/>
          <w:sz w:val="18"/>
          <w:szCs w:val="18"/>
        </w:rPr>
        <w:t xml:space="preserve"> </w:t>
      </w:r>
    </w:p>
    <w:p w14:paraId="684BBDE3" w14:textId="77777777" w:rsidR="00C131A5" w:rsidRPr="00690D66" w:rsidRDefault="00C131A5" w:rsidP="00C131A5">
      <w:pPr>
        <w:jc w:val="both"/>
        <w:rPr>
          <w:rFonts w:ascii="Arial" w:eastAsia="Arial" w:hAnsi="Arial" w:cs="Arial"/>
          <w:color w:val="212121"/>
          <w:sz w:val="18"/>
          <w:szCs w:val="18"/>
        </w:rPr>
      </w:pPr>
      <w:r w:rsidRPr="00690D66">
        <w:rPr>
          <w:rFonts w:ascii="Arial" w:eastAsia="Arial" w:hAnsi="Arial" w:cs="Arial"/>
          <w:color w:val="212121"/>
          <w:sz w:val="18"/>
          <w:szCs w:val="18"/>
        </w:rPr>
        <w:t xml:space="preserve"> </w:t>
      </w:r>
    </w:p>
    <w:p w14:paraId="3CC0923E" w14:textId="77777777" w:rsidR="00C131A5" w:rsidRPr="00690D66" w:rsidRDefault="00C131A5" w:rsidP="00C131A5">
      <w:pPr>
        <w:jc w:val="both"/>
        <w:rPr>
          <w:rFonts w:ascii="Arial" w:eastAsia="Arial" w:hAnsi="Arial" w:cs="Arial"/>
          <w:color w:val="212121"/>
          <w:sz w:val="18"/>
          <w:szCs w:val="18"/>
        </w:rPr>
      </w:pPr>
      <w:r w:rsidRPr="00690D66">
        <w:rPr>
          <w:rFonts w:ascii="Arial" w:eastAsia="Arial" w:hAnsi="Arial" w:cs="Arial"/>
          <w:color w:val="212121"/>
          <w:sz w:val="18"/>
          <w:szCs w:val="18"/>
        </w:rPr>
        <w:t xml:space="preserve">Nuoroda į EY yra nuoroda į pasaulinę organizaciją, o taip pat gali būti nuoroda į vieną ar kelias „Ernst &amp; Young Global </w:t>
      </w:r>
      <w:proofErr w:type="spellStart"/>
      <w:r w:rsidRPr="00690D66">
        <w:rPr>
          <w:rFonts w:ascii="Arial" w:eastAsia="Arial" w:hAnsi="Arial" w:cs="Arial"/>
          <w:color w:val="212121"/>
          <w:sz w:val="18"/>
          <w:szCs w:val="18"/>
        </w:rPr>
        <w:t>Limited</w:t>
      </w:r>
      <w:proofErr w:type="spellEnd"/>
      <w:r w:rsidRPr="00690D66">
        <w:rPr>
          <w:rFonts w:ascii="Arial" w:eastAsia="Arial" w:hAnsi="Arial" w:cs="Arial"/>
          <w:color w:val="212121"/>
          <w:sz w:val="18"/>
          <w:szCs w:val="18"/>
        </w:rPr>
        <w:t xml:space="preserve">“ įmones. „Ernst &amp; Young Global </w:t>
      </w:r>
      <w:proofErr w:type="spellStart"/>
      <w:r w:rsidRPr="00690D66">
        <w:rPr>
          <w:rFonts w:ascii="Arial" w:eastAsia="Arial" w:hAnsi="Arial" w:cs="Arial"/>
          <w:color w:val="212121"/>
          <w:sz w:val="18"/>
          <w:szCs w:val="18"/>
        </w:rPr>
        <w:t>Limited</w:t>
      </w:r>
      <w:proofErr w:type="spellEnd"/>
      <w:r w:rsidRPr="00690D66">
        <w:rPr>
          <w:rFonts w:ascii="Arial" w:eastAsia="Arial" w:hAnsi="Arial" w:cs="Arial"/>
          <w:color w:val="212121"/>
          <w:sz w:val="18"/>
          <w:szCs w:val="18"/>
        </w:rPr>
        <w:t>“, yra ribotos atsakomybės Jungtinės Karalystės bendrovė, kuri neteikia paslaugų klientams. Informaciją apie tai, kaip EY renka ir naudoja asmens duomenis, ir asmenų teisių pagal duomenų apsaugos teisės aktus aprašymą rasite adresu ey.com/</w:t>
      </w:r>
      <w:proofErr w:type="spellStart"/>
      <w:r w:rsidRPr="00690D66">
        <w:rPr>
          <w:rFonts w:ascii="Arial" w:eastAsia="Arial" w:hAnsi="Arial" w:cs="Arial"/>
          <w:color w:val="212121"/>
          <w:sz w:val="18"/>
          <w:szCs w:val="18"/>
        </w:rPr>
        <w:t>privacy</w:t>
      </w:r>
      <w:proofErr w:type="spellEnd"/>
      <w:r w:rsidRPr="00690D66">
        <w:rPr>
          <w:rFonts w:ascii="Arial" w:eastAsia="Arial" w:hAnsi="Arial" w:cs="Arial"/>
          <w:color w:val="212121"/>
          <w:sz w:val="18"/>
          <w:szCs w:val="18"/>
        </w:rPr>
        <w:t xml:space="preserve">. EY įmonės narės nevykdo teisės praktikos ten, kur tai draudžia vietiniai įstatymai. Daugiau informacijos apie mūsų organizaciją rasite ey.com. </w:t>
      </w:r>
    </w:p>
    <w:p w14:paraId="42B73A20" w14:textId="77777777" w:rsidR="00C131A5" w:rsidRPr="00690D66" w:rsidRDefault="00C131A5" w:rsidP="00C131A5">
      <w:pPr>
        <w:jc w:val="both"/>
        <w:rPr>
          <w:rFonts w:ascii="Arial" w:eastAsia="Arial" w:hAnsi="Arial" w:cs="Arial"/>
          <w:color w:val="212121"/>
          <w:sz w:val="18"/>
          <w:szCs w:val="18"/>
        </w:rPr>
      </w:pPr>
      <w:r w:rsidRPr="00690D66">
        <w:rPr>
          <w:rFonts w:ascii="Arial" w:eastAsia="Arial" w:hAnsi="Arial" w:cs="Arial"/>
          <w:color w:val="212121"/>
          <w:sz w:val="18"/>
          <w:szCs w:val="18"/>
        </w:rPr>
        <w:t xml:space="preserve"> </w:t>
      </w:r>
    </w:p>
    <w:p w14:paraId="0A3DC328" w14:textId="77777777" w:rsidR="00C131A5" w:rsidRPr="00690D66" w:rsidRDefault="00C131A5" w:rsidP="00C131A5">
      <w:pPr>
        <w:jc w:val="both"/>
        <w:rPr>
          <w:rFonts w:ascii="Arial" w:eastAsia="Arial" w:hAnsi="Arial" w:cs="Arial"/>
          <w:color w:val="212121"/>
          <w:sz w:val="18"/>
          <w:szCs w:val="18"/>
        </w:rPr>
      </w:pPr>
      <w:r w:rsidRPr="00690D66">
        <w:rPr>
          <w:rFonts w:ascii="Arial" w:eastAsia="Arial" w:hAnsi="Arial" w:cs="Arial"/>
          <w:color w:val="212121"/>
          <w:sz w:val="18"/>
          <w:szCs w:val="18"/>
        </w:rPr>
        <w:t xml:space="preserve">© 2024 Ernst &amp; Young Baltic UAB.  </w:t>
      </w:r>
    </w:p>
    <w:p w14:paraId="7E748DB9" w14:textId="77777777" w:rsidR="00C131A5" w:rsidRPr="00690D66" w:rsidRDefault="00C131A5" w:rsidP="00C131A5">
      <w:pPr>
        <w:jc w:val="both"/>
        <w:rPr>
          <w:rFonts w:ascii="Arial" w:eastAsia="Arial" w:hAnsi="Arial" w:cs="Arial"/>
          <w:color w:val="212121"/>
          <w:sz w:val="18"/>
          <w:szCs w:val="18"/>
        </w:rPr>
      </w:pPr>
      <w:r w:rsidRPr="00690D66">
        <w:rPr>
          <w:rFonts w:ascii="Arial" w:eastAsia="Arial" w:hAnsi="Arial" w:cs="Arial"/>
          <w:color w:val="212121"/>
          <w:sz w:val="18"/>
          <w:szCs w:val="18"/>
        </w:rPr>
        <w:t xml:space="preserve">Visos teisės saugomos. </w:t>
      </w:r>
    </w:p>
    <w:p w14:paraId="586DFB40" w14:textId="77777777" w:rsidR="00C131A5" w:rsidRPr="00690D66" w:rsidRDefault="00C131A5" w:rsidP="00C131A5">
      <w:pPr>
        <w:jc w:val="both"/>
        <w:rPr>
          <w:rFonts w:ascii="Arial" w:eastAsia="Arial" w:hAnsi="Arial" w:cs="Arial"/>
          <w:color w:val="212121"/>
          <w:sz w:val="18"/>
          <w:szCs w:val="18"/>
        </w:rPr>
      </w:pPr>
      <w:r w:rsidRPr="00690D66">
        <w:rPr>
          <w:rFonts w:ascii="Arial" w:eastAsia="Arial" w:hAnsi="Arial" w:cs="Arial"/>
          <w:color w:val="212121"/>
          <w:sz w:val="18"/>
          <w:szCs w:val="18"/>
        </w:rPr>
        <w:t xml:space="preserve">EY – „Ernst &amp; Young Global“ narė – yra profesinių paslaugų Baltijos šalyse lyderė. Daugiau nei 800 specialistų Baltijos šalyse vienijanti bendrovė teikia audito, mokesčių, apskaitos, strategijos, sandorių, teisines ir kitas verslo ir viešojo sektoriaus konsultacijų paslaugas. </w:t>
      </w:r>
    </w:p>
    <w:p w14:paraId="0E4CA8A2" w14:textId="77777777" w:rsidR="00C131A5" w:rsidRPr="00690D66" w:rsidRDefault="00C131A5" w:rsidP="00C131A5">
      <w:pPr>
        <w:jc w:val="both"/>
        <w:rPr>
          <w:rFonts w:ascii="Arial" w:eastAsia="Arial" w:hAnsi="Arial" w:cs="Arial"/>
          <w:color w:val="212121"/>
          <w:sz w:val="18"/>
          <w:szCs w:val="18"/>
        </w:rPr>
      </w:pPr>
      <w:r w:rsidRPr="00690D66">
        <w:rPr>
          <w:rFonts w:ascii="Arial" w:eastAsia="Arial" w:hAnsi="Arial" w:cs="Arial"/>
          <w:color w:val="212121"/>
          <w:sz w:val="18"/>
          <w:szCs w:val="18"/>
        </w:rPr>
        <w:t>ey.com</w:t>
      </w:r>
    </w:p>
    <w:p w14:paraId="2DEE1549" w14:textId="77777777" w:rsidR="00C131A5" w:rsidRPr="00690D66" w:rsidRDefault="00C131A5" w:rsidP="00C131A5">
      <w:pPr>
        <w:spacing w:after="120" w:line="260" w:lineRule="atLeast"/>
        <w:jc w:val="both"/>
        <w:rPr>
          <w:rFonts w:ascii="Arial" w:eastAsia="Arial" w:hAnsi="Arial" w:cs="Arial"/>
          <w:b/>
          <w:bCs/>
          <w:color w:val="000000" w:themeColor="text1"/>
          <w:sz w:val="18"/>
          <w:szCs w:val="18"/>
          <w:lang w:eastAsia="en-AU"/>
        </w:rPr>
      </w:pPr>
    </w:p>
    <w:p w14:paraId="715096EB" w14:textId="77777777" w:rsidR="00B0245A" w:rsidRPr="00690D66" w:rsidRDefault="00B0245A" w:rsidP="00740DA6">
      <w:pPr>
        <w:jc w:val="both"/>
        <w:rPr>
          <w:rFonts w:ascii="Arial" w:hAnsi="Arial" w:cs="Arial"/>
          <w:sz w:val="18"/>
          <w:szCs w:val="18"/>
        </w:rPr>
      </w:pPr>
    </w:p>
    <w:sectPr w:rsidR="00B0245A" w:rsidRPr="00690D66" w:rsidSect="008C1179">
      <w:headerReference w:type="default" r:id="rId11"/>
      <w:pgSz w:w="11906" w:h="16838"/>
      <w:pgMar w:top="2478"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EB14C1" w14:textId="77777777" w:rsidR="007A1517" w:rsidRDefault="007A1517" w:rsidP="00F13C8E">
      <w:r>
        <w:separator/>
      </w:r>
    </w:p>
  </w:endnote>
  <w:endnote w:type="continuationSeparator" w:id="0">
    <w:p w14:paraId="45ADAA6B" w14:textId="77777777" w:rsidR="007A1517" w:rsidRDefault="007A1517" w:rsidP="00F13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1E1B6" w14:textId="77777777" w:rsidR="007A1517" w:rsidRDefault="007A1517" w:rsidP="00F13C8E">
      <w:r>
        <w:separator/>
      </w:r>
    </w:p>
  </w:footnote>
  <w:footnote w:type="continuationSeparator" w:id="0">
    <w:p w14:paraId="08B508DB" w14:textId="77777777" w:rsidR="007A1517" w:rsidRDefault="007A1517" w:rsidP="00F13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4F954" w14:textId="4B441AB4" w:rsidR="00F13C8E" w:rsidRDefault="00C13F67">
    <w:pPr>
      <w:pStyle w:val="Header"/>
    </w:pPr>
    <w:r>
      <w:rPr>
        <w:noProof/>
      </w:rPr>
      <w:drawing>
        <wp:inline distT="0" distB="0" distL="0" distR="0" wp14:anchorId="0EC14DDA" wp14:editId="28D44B3C">
          <wp:extent cx="1582544" cy="636104"/>
          <wp:effectExtent l="0" t="0" r="5080" b="0"/>
          <wp:docPr id="547787275" name="Picture 1" descr="A black background with yellow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787275" name="Picture 1" descr="A black background with yellow and grey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4121" cy="6769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36E2E"/>
    <w:multiLevelType w:val="hybridMultilevel"/>
    <w:tmpl w:val="776C0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664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E5"/>
    <w:rsid w:val="00013FA4"/>
    <w:rsid w:val="0002103D"/>
    <w:rsid w:val="00021849"/>
    <w:rsid w:val="000315F5"/>
    <w:rsid w:val="00033ADE"/>
    <w:rsid w:val="000411DC"/>
    <w:rsid w:val="00052828"/>
    <w:rsid w:val="0006002B"/>
    <w:rsid w:val="00060ED9"/>
    <w:rsid w:val="0007441A"/>
    <w:rsid w:val="000A0DA1"/>
    <w:rsid w:val="000A121A"/>
    <w:rsid w:val="000A7693"/>
    <w:rsid w:val="000F04C4"/>
    <w:rsid w:val="000F1ADA"/>
    <w:rsid w:val="001061A9"/>
    <w:rsid w:val="00112521"/>
    <w:rsid w:val="001274C8"/>
    <w:rsid w:val="00161ECE"/>
    <w:rsid w:val="00163A21"/>
    <w:rsid w:val="001644D4"/>
    <w:rsid w:val="001705AD"/>
    <w:rsid w:val="00170F70"/>
    <w:rsid w:val="00175C15"/>
    <w:rsid w:val="001760B6"/>
    <w:rsid w:val="00183384"/>
    <w:rsid w:val="00186F73"/>
    <w:rsid w:val="001935E5"/>
    <w:rsid w:val="00193640"/>
    <w:rsid w:val="001A6F4D"/>
    <w:rsid w:val="001B4769"/>
    <w:rsid w:val="001C2CA3"/>
    <w:rsid w:val="001C33F2"/>
    <w:rsid w:val="001C47F8"/>
    <w:rsid w:val="001E3EEA"/>
    <w:rsid w:val="001F2BA1"/>
    <w:rsid w:val="002064F6"/>
    <w:rsid w:val="00225390"/>
    <w:rsid w:val="00227036"/>
    <w:rsid w:val="0023584C"/>
    <w:rsid w:val="00255C60"/>
    <w:rsid w:val="002575CA"/>
    <w:rsid w:val="00263049"/>
    <w:rsid w:val="00294B06"/>
    <w:rsid w:val="002B0D9F"/>
    <w:rsid w:val="002B5F19"/>
    <w:rsid w:val="002B71AF"/>
    <w:rsid w:val="002D26A8"/>
    <w:rsid w:val="002D7E43"/>
    <w:rsid w:val="002E3FBA"/>
    <w:rsid w:val="002F6DEA"/>
    <w:rsid w:val="00302664"/>
    <w:rsid w:val="00313B7F"/>
    <w:rsid w:val="00322537"/>
    <w:rsid w:val="00323213"/>
    <w:rsid w:val="00336288"/>
    <w:rsid w:val="00347B96"/>
    <w:rsid w:val="00356836"/>
    <w:rsid w:val="0035738E"/>
    <w:rsid w:val="003668EF"/>
    <w:rsid w:val="00367950"/>
    <w:rsid w:val="003A2856"/>
    <w:rsid w:val="003E3751"/>
    <w:rsid w:val="00411948"/>
    <w:rsid w:val="00424B6C"/>
    <w:rsid w:val="00425F3C"/>
    <w:rsid w:val="0042706B"/>
    <w:rsid w:val="0043513C"/>
    <w:rsid w:val="004457A0"/>
    <w:rsid w:val="00446BF6"/>
    <w:rsid w:val="004520EA"/>
    <w:rsid w:val="00453A15"/>
    <w:rsid w:val="00460214"/>
    <w:rsid w:val="0047552A"/>
    <w:rsid w:val="004761E9"/>
    <w:rsid w:val="0047652E"/>
    <w:rsid w:val="0047674F"/>
    <w:rsid w:val="0049187E"/>
    <w:rsid w:val="004A610C"/>
    <w:rsid w:val="004B6729"/>
    <w:rsid w:val="00505175"/>
    <w:rsid w:val="00512219"/>
    <w:rsid w:val="00521126"/>
    <w:rsid w:val="00531DF9"/>
    <w:rsid w:val="0054142D"/>
    <w:rsid w:val="00547BCA"/>
    <w:rsid w:val="00550869"/>
    <w:rsid w:val="00561FFE"/>
    <w:rsid w:val="00563CF4"/>
    <w:rsid w:val="005640AE"/>
    <w:rsid w:val="0056684A"/>
    <w:rsid w:val="00566C63"/>
    <w:rsid w:val="00576C8D"/>
    <w:rsid w:val="0058358A"/>
    <w:rsid w:val="005A09F5"/>
    <w:rsid w:val="005D3AEE"/>
    <w:rsid w:val="005E68C1"/>
    <w:rsid w:val="00601D1F"/>
    <w:rsid w:val="0060294A"/>
    <w:rsid w:val="00613EEA"/>
    <w:rsid w:val="00615EA0"/>
    <w:rsid w:val="006173A8"/>
    <w:rsid w:val="006568C0"/>
    <w:rsid w:val="006706BB"/>
    <w:rsid w:val="00674537"/>
    <w:rsid w:val="006862E3"/>
    <w:rsid w:val="00690D66"/>
    <w:rsid w:val="006A0F0E"/>
    <w:rsid w:val="006A30A0"/>
    <w:rsid w:val="006A34E3"/>
    <w:rsid w:val="006B0F42"/>
    <w:rsid w:val="006D2CBD"/>
    <w:rsid w:val="006F5122"/>
    <w:rsid w:val="00714753"/>
    <w:rsid w:val="00732B10"/>
    <w:rsid w:val="007363DA"/>
    <w:rsid w:val="00740DA6"/>
    <w:rsid w:val="0075202C"/>
    <w:rsid w:val="00755346"/>
    <w:rsid w:val="00761E3F"/>
    <w:rsid w:val="007806B8"/>
    <w:rsid w:val="007841B7"/>
    <w:rsid w:val="007931DA"/>
    <w:rsid w:val="007967B6"/>
    <w:rsid w:val="007A1517"/>
    <w:rsid w:val="007A1FE5"/>
    <w:rsid w:val="007A2941"/>
    <w:rsid w:val="007B04DA"/>
    <w:rsid w:val="007B6DA7"/>
    <w:rsid w:val="007F0C90"/>
    <w:rsid w:val="007F2880"/>
    <w:rsid w:val="008137FE"/>
    <w:rsid w:val="00814F96"/>
    <w:rsid w:val="00815115"/>
    <w:rsid w:val="00815CFF"/>
    <w:rsid w:val="008161AB"/>
    <w:rsid w:val="008220E4"/>
    <w:rsid w:val="0082743F"/>
    <w:rsid w:val="00834E57"/>
    <w:rsid w:val="008437B3"/>
    <w:rsid w:val="00850CAB"/>
    <w:rsid w:val="0086233C"/>
    <w:rsid w:val="00864C42"/>
    <w:rsid w:val="00881FA2"/>
    <w:rsid w:val="008833C3"/>
    <w:rsid w:val="00885FFC"/>
    <w:rsid w:val="00892771"/>
    <w:rsid w:val="00892FD4"/>
    <w:rsid w:val="00895425"/>
    <w:rsid w:val="008A5D18"/>
    <w:rsid w:val="008B0BC2"/>
    <w:rsid w:val="008C1179"/>
    <w:rsid w:val="008C1D79"/>
    <w:rsid w:val="008D57F9"/>
    <w:rsid w:val="008E785B"/>
    <w:rsid w:val="008F01A7"/>
    <w:rsid w:val="00901AD0"/>
    <w:rsid w:val="00907AFD"/>
    <w:rsid w:val="00910AD1"/>
    <w:rsid w:val="00913B22"/>
    <w:rsid w:val="00914BB8"/>
    <w:rsid w:val="00915BE2"/>
    <w:rsid w:val="0092101C"/>
    <w:rsid w:val="00957F3E"/>
    <w:rsid w:val="009747F1"/>
    <w:rsid w:val="00980F03"/>
    <w:rsid w:val="009847DB"/>
    <w:rsid w:val="0098724E"/>
    <w:rsid w:val="009907EE"/>
    <w:rsid w:val="0099736D"/>
    <w:rsid w:val="009A4ECE"/>
    <w:rsid w:val="009B5908"/>
    <w:rsid w:val="009C3643"/>
    <w:rsid w:val="009D030D"/>
    <w:rsid w:val="009D7583"/>
    <w:rsid w:val="009E41E6"/>
    <w:rsid w:val="009E5D22"/>
    <w:rsid w:val="009E6821"/>
    <w:rsid w:val="009F58F4"/>
    <w:rsid w:val="00A27DC4"/>
    <w:rsid w:val="00A30933"/>
    <w:rsid w:val="00A32A4E"/>
    <w:rsid w:val="00A42C6E"/>
    <w:rsid w:val="00A53980"/>
    <w:rsid w:val="00A77405"/>
    <w:rsid w:val="00A97FA5"/>
    <w:rsid w:val="00AB122C"/>
    <w:rsid w:val="00AD6725"/>
    <w:rsid w:val="00AD6F16"/>
    <w:rsid w:val="00AD7F19"/>
    <w:rsid w:val="00AE6A5D"/>
    <w:rsid w:val="00B00619"/>
    <w:rsid w:val="00B0245A"/>
    <w:rsid w:val="00B02AD9"/>
    <w:rsid w:val="00B03952"/>
    <w:rsid w:val="00B216AD"/>
    <w:rsid w:val="00B3493F"/>
    <w:rsid w:val="00B35EF1"/>
    <w:rsid w:val="00B53BB1"/>
    <w:rsid w:val="00B544E5"/>
    <w:rsid w:val="00B54D35"/>
    <w:rsid w:val="00B5711D"/>
    <w:rsid w:val="00B5790D"/>
    <w:rsid w:val="00B74648"/>
    <w:rsid w:val="00BB776E"/>
    <w:rsid w:val="00BE155C"/>
    <w:rsid w:val="00BF07EC"/>
    <w:rsid w:val="00C0423F"/>
    <w:rsid w:val="00C05620"/>
    <w:rsid w:val="00C121AF"/>
    <w:rsid w:val="00C131A5"/>
    <w:rsid w:val="00C13F67"/>
    <w:rsid w:val="00C3065F"/>
    <w:rsid w:val="00C35180"/>
    <w:rsid w:val="00C358A1"/>
    <w:rsid w:val="00C37430"/>
    <w:rsid w:val="00C451C6"/>
    <w:rsid w:val="00C53D59"/>
    <w:rsid w:val="00C5435F"/>
    <w:rsid w:val="00C60968"/>
    <w:rsid w:val="00C85CA3"/>
    <w:rsid w:val="00C92CE2"/>
    <w:rsid w:val="00CA2444"/>
    <w:rsid w:val="00CB069A"/>
    <w:rsid w:val="00CB277C"/>
    <w:rsid w:val="00CB31FF"/>
    <w:rsid w:val="00CB74F3"/>
    <w:rsid w:val="00CD50C0"/>
    <w:rsid w:val="00CD52C4"/>
    <w:rsid w:val="00CD6572"/>
    <w:rsid w:val="00CE5FCD"/>
    <w:rsid w:val="00CF15EC"/>
    <w:rsid w:val="00CF67D1"/>
    <w:rsid w:val="00D132A8"/>
    <w:rsid w:val="00D132F2"/>
    <w:rsid w:val="00D210C7"/>
    <w:rsid w:val="00D22877"/>
    <w:rsid w:val="00D2488D"/>
    <w:rsid w:val="00D3490A"/>
    <w:rsid w:val="00D34EE9"/>
    <w:rsid w:val="00D63BE5"/>
    <w:rsid w:val="00D6559D"/>
    <w:rsid w:val="00D677FF"/>
    <w:rsid w:val="00D67EFC"/>
    <w:rsid w:val="00D70D6B"/>
    <w:rsid w:val="00D817DE"/>
    <w:rsid w:val="00D861B3"/>
    <w:rsid w:val="00DC7089"/>
    <w:rsid w:val="00DD06E7"/>
    <w:rsid w:val="00DD2655"/>
    <w:rsid w:val="00DD7259"/>
    <w:rsid w:val="00DF080F"/>
    <w:rsid w:val="00E07489"/>
    <w:rsid w:val="00E12241"/>
    <w:rsid w:val="00E23958"/>
    <w:rsid w:val="00E25C4E"/>
    <w:rsid w:val="00E40B3F"/>
    <w:rsid w:val="00E40B79"/>
    <w:rsid w:val="00E419C5"/>
    <w:rsid w:val="00E55291"/>
    <w:rsid w:val="00E72227"/>
    <w:rsid w:val="00E77718"/>
    <w:rsid w:val="00E83DA8"/>
    <w:rsid w:val="00E86F3E"/>
    <w:rsid w:val="00EB53AD"/>
    <w:rsid w:val="00EC3456"/>
    <w:rsid w:val="00ED1773"/>
    <w:rsid w:val="00EF7608"/>
    <w:rsid w:val="00F046BA"/>
    <w:rsid w:val="00F05793"/>
    <w:rsid w:val="00F13C8E"/>
    <w:rsid w:val="00F15ECA"/>
    <w:rsid w:val="00F21747"/>
    <w:rsid w:val="00F24C7D"/>
    <w:rsid w:val="00F27408"/>
    <w:rsid w:val="00F3098E"/>
    <w:rsid w:val="00F43F66"/>
    <w:rsid w:val="00F47E62"/>
    <w:rsid w:val="00F561E9"/>
    <w:rsid w:val="00FB6E6F"/>
    <w:rsid w:val="00FD0A96"/>
    <w:rsid w:val="00FD6A24"/>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407EF"/>
  <w15:chartTrackingRefBased/>
  <w15:docId w15:val="{3D696ECC-C885-1848-B55B-B1E0FEDFE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7A0"/>
    <w:pPr>
      <w:spacing w:after="0" w:line="240" w:lineRule="auto"/>
    </w:pPr>
    <w:rPr>
      <w:rFonts w:ascii="Calibri" w:hAnsi="Calibri" w:cs="Calibri"/>
      <w:kern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3CF4"/>
    <w:pPr>
      <w:ind w:left="720"/>
      <w:contextualSpacing/>
    </w:pPr>
  </w:style>
  <w:style w:type="paragraph" w:styleId="Header">
    <w:name w:val="header"/>
    <w:basedOn w:val="Normal"/>
    <w:link w:val="HeaderChar"/>
    <w:uiPriority w:val="99"/>
    <w:unhideWhenUsed/>
    <w:rsid w:val="00F13C8E"/>
    <w:pPr>
      <w:tabs>
        <w:tab w:val="center" w:pos="4513"/>
        <w:tab w:val="right" w:pos="9026"/>
      </w:tabs>
    </w:pPr>
  </w:style>
  <w:style w:type="character" w:customStyle="1" w:styleId="HeaderChar">
    <w:name w:val="Header Char"/>
    <w:basedOn w:val="DefaultParagraphFont"/>
    <w:link w:val="Header"/>
    <w:uiPriority w:val="99"/>
    <w:rsid w:val="00F13C8E"/>
    <w:rPr>
      <w:rFonts w:ascii="Calibri" w:hAnsi="Calibri" w:cs="Calibri"/>
      <w:kern w:val="0"/>
      <w:lang w:eastAsia="en-US"/>
    </w:rPr>
  </w:style>
  <w:style w:type="paragraph" w:styleId="Footer">
    <w:name w:val="footer"/>
    <w:basedOn w:val="Normal"/>
    <w:link w:val="FooterChar"/>
    <w:uiPriority w:val="99"/>
    <w:unhideWhenUsed/>
    <w:rsid w:val="00F13C8E"/>
    <w:pPr>
      <w:tabs>
        <w:tab w:val="center" w:pos="4513"/>
        <w:tab w:val="right" w:pos="9026"/>
      </w:tabs>
    </w:pPr>
  </w:style>
  <w:style w:type="character" w:customStyle="1" w:styleId="FooterChar">
    <w:name w:val="Footer Char"/>
    <w:basedOn w:val="DefaultParagraphFont"/>
    <w:link w:val="Footer"/>
    <w:uiPriority w:val="99"/>
    <w:rsid w:val="00F13C8E"/>
    <w:rPr>
      <w:rFonts w:ascii="Calibri" w:hAnsi="Calibri" w:cs="Calibri"/>
      <w:kern w:val="0"/>
      <w:lang w:eastAsia="en-US"/>
    </w:rPr>
  </w:style>
  <w:style w:type="character" w:styleId="Hyperlink">
    <w:name w:val="Hyperlink"/>
    <w:basedOn w:val="DefaultParagraphFont"/>
    <w:uiPriority w:val="99"/>
    <w:unhideWhenUsed/>
    <w:rsid w:val="00FD6A24"/>
    <w:rPr>
      <w:color w:val="0563C1" w:themeColor="hyperlink"/>
      <w:u w:val="single"/>
    </w:rPr>
  </w:style>
  <w:style w:type="character" w:styleId="UnresolvedMention">
    <w:name w:val="Unresolved Mention"/>
    <w:basedOn w:val="DefaultParagraphFont"/>
    <w:uiPriority w:val="99"/>
    <w:semiHidden/>
    <w:unhideWhenUsed/>
    <w:rsid w:val="00FD6A24"/>
    <w:rPr>
      <w:color w:val="605E5C"/>
      <w:shd w:val="clear" w:color="auto" w:fill="E1DFDD"/>
    </w:rPr>
  </w:style>
  <w:style w:type="character" w:styleId="CommentReference">
    <w:name w:val="annotation reference"/>
    <w:basedOn w:val="DefaultParagraphFont"/>
    <w:uiPriority w:val="99"/>
    <w:semiHidden/>
    <w:unhideWhenUsed/>
    <w:rsid w:val="00175C15"/>
    <w:rPr>
      <w:sz w:val="16"/>
      <w:szCs w:val="16"/>
    </w:rPr>
  </w:style>
  <w:style w:type="paragraph" w:styleId="CommentText">
    <w:name w:val="annotation text"/>
    <w:basedOn w:val="Normal"/>
    <w:link w:val="CommentTextChar"/>
    <w:uiPriority w:val="99"/>
    <w:unhideWhenUsed/>
    <w:rsid w:val="00175C15"/>
    <w:rPr>
      <w:sz w:val="20"/>
      <w:szCs w:val="20"/>
    </w:rPr>
  </w:style>
  <w:style w:type="character" w:customStyle="1" w:styleId="CommentTextChar">
    <w:name w:val="Comment Text Char"/>
    <w:basedOn w:val="DefaultParagraphFont"/>
    <w:link w:val="CommentText"/>
    <w:uiPriority w:val="99"/>
    <w:rsid w:val="00175C15"/>
    <w:rPr>
      <w:rFonts w:ascii="Calibri" w:hAnsi="Calibri" w:cs="Calibri"/>
      <w:kern w:val="0"/>
      <w:sz w:val="20"/>
      <w:szCs w:val="20"/>
      <w:lang w:eastAsia="en-US"/>
    </w:rPr>
  </w:style>
  <w:style w:type="paragraph" w:styleId="CommentSubject">
    <w:name w:val="annotation subject"/>
    <w:basedOn w:val="CommentText"/>
    <w:next w:val="CommentText"/>
    <w:link w:val="CommentSubjectChar"/>
    <w:uiPriority w:val="99"/>
    <w:semiHidden/>
    <w:unhideWhenUsed/>
    <w:rsid w:val="00175C15"/>
    <w:rPr>
      <w:b/>
      <w:bCs/>
    </w:rPr>
  </w:style>
  <w:style w:type="character" w:customStyle="1" w:styleId="CommentSubjectChar">
    <w:name w:val="Comment Subject Char"/>
    <w:basedOn w:val="CommentTextChar"/>
    <w:link w:val="CommentSubject"/>
    <w:uiPriority w:val="99"/>
    <w:semiHidden/>
    <w:rsid w:val="00175C15"/>
    <w:rPr>
      <w:rFonts w:ascii="Calibri" w:hAnsi="Calibri" w:cs="Calibri"/>
      <w:b/>
      <w:bCs/>
      <w:kern w:val="0"/>
      <w:sz w:val="20"/>
      <w:szCs w:val="20"/>
      <w:lang w:eastAsia="en-US"/>
    </w:rPr>
  </w:style>
  <w:style w:type="character" w:styleId="FollowedHyperlink">
    <w:name w:val="FollowedHyperlink"/>
    <w:basedOn w:val="DefaultParagraphFont"/>
    <w:uiPriority w:val="99"/>
    <w:semiHidden/>
    <w:unhideWhenUsed/>
    <w:rsid w:val="00175C15"/>
    <w:rPr>
      <w:color w:val="954F72" w:themeColor="followedHyperlink"/>
      <w:u w:val="single"/>
    </w:rPr>
  </w:style>
  <w:style w:type="paragraph" w:styleId="Revision">
    <w:name w:val="Revision"/>
    <w:hidden/>
    <w:uiPriority w:val="99"/>
    <w:semiHidden/>
    <w:rsid w:val="00C35180"/>
    <w:pPr>
      <w:spacing w:after="0" w:line="240" w:lineRule="auto"/>
    </w:pPr>
    <w:rPr>
      <w:rFonts w:ascii="Calibri" w:hAnsi="Calibri" w:cs="Calibri"/>
      <w:kern w:val="0"/>
      <w:lang w:eastAsia="en-US"/>
    </w:rPr>
  </w:style>
  <w:style w:type="paragraph" w:styleId="NoSpacing">
    <w:name w:val="No Spacing"/>
    <w:uiPriority w:val="1"/>
    <w:qFormat/>
    <w:rsid w:val="001274C8"/>
    <w:pPr>
      <w:spacing w:after="0" w:line="240" w:lineRule="auto"/>
    </w:pPr>
    <w:rPr>
      <w:rFonts w:eastAsiaTheme="minorHAnsi"/>
      <w:kern w:val="0"/>
      <w:lang w:eastAsia="en-US"/>
      <w14:ligatures w14:val="none"/>
    </w:rPr>
  </w:style>
  <w:style w:type="character" w:customStyle="1" w:styleId="apple-converted-space">
    <w:name w:val="apple-converted-space"/>
    <w:basedOn w:val="DefaultParagraphFont"/>
    <w:rsid w:val="00B0245A"/>
  </w:style>
  <w:style w:type="paragraph" w:styleId="FootnoteText">
    <w:name w:val="footnote text"/>
    <w:basedOn w:val="Normal"/>
    <w:link w:val="FootnoteTextChar"/>
    <w:uiPriority w:val="99"/>
    <w:semiHidden/>
    <w:unhideWhenUsed/>
    <w:rsid w:val="00CD6572"/>
    <w:rPr>
      <w:sz w:val="20"/>
      <w:szCs w:val="20"/>
    </w:rPr>
  </w:style>
  <w:style w:type="character" w:customStyle="1" w:styleId="FootnoteTextChar">
    <w:name w:val="Footnote Text Char"/>
    <w:basedOn w:val="DefaultParagraphFont"/>
    <w:link w:val="FootnoteText"/>
    <w:uiPriority w:val="99"/>
    <w:semiHidden/>
    <w:rsid w:val="00CD6572"/>
    <w:rPr>
      <w:rFonts w:ascii="Calibri" w:hAnsi="Calibri" w:cs="Calibri"/>
      <w:kern w:val="0"/>
      <w:sz w:val="20"/>
      <w:szCs w:val="20"/>
      <w:lang w:eastAsia="en-US"/>
    </w:rPr>
  </w:style>
  <w:style w:type="character" w:styleId="FootnoteReference">
    <w:name w:val="footnote reference"/>
    <w:basedOn w:val="DefaultParagraphFont"/>
    <w:uiPriority w:val="99"/>
    <w:semiHidden/>
    <w:unhideWhenUsed/>
    <w:rsid w:val="00CD65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990866">
      <w:bodyDiv w:val="1"/>
      <w:marLeft w:val="0"/>
      <w:marRight w:val="0"/>
      <w:marTop w:val="0"/>
      <w:marBottom w:val="0"/>
      <w:divBdr>
        <w:top w:val="none" w:sz="0" w:space="0" w:color="auto"/>
        <w:left w:val="none" w:sz="0" w:space="0" w:color="auto"/>
        <w:bottom w:val="none" w:sz="0" w:space="0" w:color="auto"/>
        <w:right w:val="none" w:sz="0" w:space="0" w:color="auto"/>
      </w:divBdr>
    </w:div>
    <w:div w:id="76411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rnesta.Vineviciute@lt.ey.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3AF1D37A9074BBB3B344B010B0239" ma:contentTypeVersion="17" ma:contentTypeDescription="Create a new document." ma:contentTypeScope="" ma:versionID="5b91d7e6f268e7be2f701edf4807cb18">
  <xsd:schema xmlns:xsd="http://www.w3.org/2001/XMLSchema" xmlns:xs="http://www.w3.org/2001/XMLSchema" xmlns:p="http://schemas.microsoft.com/office/2006/metadata/properties" xmlns:ns2="6078598c-14c1-4f90-8a5f-4e3168f7f274" xmlns:ns3="60187a0b-a705-4418-aaa5-67f07aef0e17" targetNamespace="http://schemas.microsoft.com/office/2006/metadata/properties" ma:root="true" ma:fieldsID="b0def17927e848521f31fb2d0403272b" ns2:_="" ns3:_="">
    <xsd:import namespace="6078598c-14c1-4f90-8a5f-4e3168f7f274"/>
    <xsd:import namespace="60187a0b-a705-4418-aaa5-67f07aef0e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8598c-14c1-4f90-8a5f-4e3168f7f2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c14d24c-3ab5-4ceb-b655-819b013f8442}" ma:internalName="TaxCatchAll" ma:showField="CatchAllData" ma:web="6078598c-14c1-4f90-8a5f-4e3168f7f2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187a0b-a705-4418-aaa5-67f07aef0e1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2dacf4-7a6f-4d7a-a489-47a8915adf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78598c-14c1-4f90-8a5f-4e3168f7f274" xsi:nil="true"/>
    <lcf76f155ced4ddcb4097134ff3c332f xmlns="60187a0b-a705-4418-aaa5-67f07aef0e1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CDF0F7-A0B9-4997-9C1D-E601DE042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8598c-14c1-4f90-8a5f-4e3168f7f274"/>
    <ds:schemaRef ds:uri="60187a0b-a705-4418-aaa5-67f07aef0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6B2F64-6A47-43DD-82D5-D1C93E13741F}">
  <ds:schemaRefs>
    <ds:schemaRef ds:uri="http://schemas.microsoft.com/office/2006/metadata/properties"/>
    <ds:schemaRef ds:uri="http://schemas.microsoft.com/office/infopath/2007/PartnerControls"/>
    <ds:schemaRef ds:uri="6078598c-14c1-4f90-8a5f-4e3168f7f274"/>
    <ds:schemaRef ds:uri="60187a0b-a705-4418-aaa5-67f07aef0e17"/>
  </ds:schemaRefs>
</ds:datastoreItem>
</file>

<file path=customXml/itemProps3.xml><?xml version="1.0" encoding="utf-8"?>
<ds:datastoreItem xmlns:ds="http://schemas.openxmlformats.org/officeDocument/2006/customXml" ds:itemID="{9BF4490E-C490-4277-8DE7-42539ACFD4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1061</Words>
  <Characters>6050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Pučėta</dc:creator>
  <cp:keywords/>
  <dc:description/>
  <cp:lastModifiedBy>Miglė Strempickė</cp:lastModifiedBy>
  <cp:revision>4</cp:revision>
  <dcterms:created xsi:type="dcterms:W3CDTF">2025-01-13T11:52:00Z</dcterms:created>
  <dcterms:modified xsi:type="dcterms:W3CDTF">2025-01-13T13:21:00Z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0x0101008843AF1D37A9074BBB3B344B010B0239</vt:lpwstr>
  </property>
  <property fmtid="{D5CDD505-2E9C-101B-9397-08002B2CF9AE}" pid="3" name="MSIP_Label_97c4f187-5e78-4ccc-ba06-bd72f8c5cc80_Enabled">
    <vt:lpwstr>true</vt:lpwstr>
  </property>
  <property fmtid="{D5CDD505-2E9C-101B-9397-08002B2CF9AE}" pid="4" name="MSIP_Label_97c4f187-5e78-4ccc-ba06-bd72f8c5cc80_SetDate">
    <vt:lpwstr>2024-05-06T12:24:25Z</vt:lpwstr>
  </property>
  <property fmtid="{D5CDD505-2E9C-101B-9397-08002B2CF9AE}" pid="5" name="MSIP_Label_97c4f187-5e78-4ccc-ba06-bd72f8c5cc80_Method">
    <vt:lpwstr>Privileged</vt:lpwstr>
  </property>
  <property fmtid="{D5CDD505-2E9C-101B-9397-08002B2CF9AE}" pid="6" name="MSIP_Label_97c4f187-5e78-4ccc-ba06-bd72f8c5cc80_Name">
    <vt:lpwstr>Strictly confidential Personal data</vt:lpwstr>
  </property>
  <property fmtid="{D5CDD505-2E9C-101B-9397-08002B2CF9AE}" pid="7" name="MSIP_Label_97c4f187-5e78-4ccc-ba06-bd72f8c5cc80_SiteId">
    <vt:lpwstr>34f1fd88-d36a-47a9-8619-30213cb4f586</vt:lpwstr>
  </property>
  <property fmtid="{D5CDD505-2E9C-101B-9397-08002B2CF9AE}" pid="8" name="MSIP_Label_97c4f187-5e78-4ccc-ba06-bd72f8c5cc80_ActionId">
    <vt:lpwstr>12f62198-e4e6-467d-9a1f-8c4165f41b26</vt:lpwstr>
  </property>
  <property fmtid="{D5CDD505-2E9C-101B-9397-08002B2CF9AE}" pid="9" name="MSIP_Label_97c4f187-5e78-4ccc-ba06-bd72f8c5cc80_ContentBits">
    <vt:lpwstr>0</vt:lpwstr>
  </property>
  <property fmtid="{D5CDD505-2E9C-101B-9397-08002B2CF9AE}" pid="10" name="MediaServiceImageTags">
    <vt:lpwstr/>
  </property>
</Properties>
</file>