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6465" w14:textId="68EDEF5E" w:rsidR="004943F7" w:rsidRPr="00AD746A" w:rsidRDefault="00EF2621" w:rsidP="00AD746A">
      <w:pPr>
        <w:spacing w:after="120"/>
        <w:rPr>
          <w:rFonts w:ascii="Times New Roman" w:hAnsi="Times New Roman" w:cs="Times New Roman"/>
          <w:b/>
          <w:bCs/>
          <w:sz w:val="24"/>
          <w:szCs w:val="24"/>
        </w:rPr>
      </w:pPr>
      <w:bookmarkStart w:id="0" w:name="_Hlk69122284"/>
      <w:bookmarkStart w:id="1" w:name="_Hlk63149189"/>
      <w:r w:rsidRPr="00AD746A">
        <w:rPr>
          <w:rFonts w:ascii="Times New Roman" w:hAnsi="Times New Roman" w:cs="Times New Roman"/>
          <w:b/>
          <w:bCs/>
          <w:sz w:val="24"/>
          <w:szCs w:val="24"/>
        </w:rPr>
        <w:br/>
      </w:r>
      <w:r w:rsidR="004943F7" w:rsidRPr="00AD746A">
        <w:rPr>
          <w:rFonts w:ascii="Times New Roman" w:hAnsi="Times New Roman" w:cs="Times New Roman"/>
          <w:b/>
          <w:bCs/>
          <w:sz w:val="24"/>
          <w:szCs w:val="24"/>
        </w:rPr>
        <w:t>Elektros rinkos barometras: elektr</w:t>
      </w:r>
      <w:r w:rsidR="00AD746A">
        <w:rPr>
          <w:rFonts w:ascii="Times New Roman" w:hAnsi="Times New Roman" w:cs="Times New Roman"/>
          <w:b/>
          <w:bCs/>
          <w:sz w:val="24"/>
          <w:szCs w:val="24"/>
        </w:rPr>
        <w:t>a</w:t>
      </w:r>
      <w:r w:rsidR="004943F7" w:rsidRPr="00AD746A">
        <w:rPr>
          <w:rFonts w:ascii="Times New Roman" w:hAnsi="Times New Roman" w:cs="Times New Roman"/>
          <w:b/>
          <w:bCs/>
          <w:sz w:val="24"/>
          <w:szCs w:val="24"/>
        </w:rPr>
        <w:t xml:space="preserve"> Lietuvoje </w:t>
      </w:r>
      <w:r w:rsidR="00AD746A">
        <w:rPr>
          <w:rFonts w:ascii="Times New Roman" w:hAnsi="Times New Roman" w:cs="Times New Roman"/>
          <w:b/>
          <w:bCs/>
          <w:sz w:val="24"/>
          <w:szCs w:val="24"/>
        </w:rPr>
        <w:t>brango</w:t>
      </w:r>
      <w:r w:rsidR="00AD746A" w:rsidRPr="00AD746A">
        <w:rPr>
          <w:rFonts w:ascii="Times New Roman" w:hAnsi="Times New Roman" w:cs="Times New Roman"/>
          <w:b/>
          <w:bCs/>
          <w:sz w:val="24"/>
          <w:szCs w:val="24"/>
        </w:rPr>
        <w:t xml:space="preserve"> </w:t>
      </w:r>
      <w:r w:rsidR="004943F7" w:rsidRPr="00AD746A">
        <w:rPr>
          <w:rFonts w:ascii="Times New Roman" w:hAnsi="Times New Roman" w:cs="Times New Roman"/>
          <w:b/>
          <w:bCs/>
          <w:sz w:val="24"/>
          <w:szCs w:val="24"/>
        </w:rPr>
        <w:t>28 proc.</w:t>
      </w:r>
    </w:p>
    <w:p w14:paraId="2D865068" w14:textId="46B12406" w:rsidR="00AD746A" w:rsidRPr="00AD746A" w:rsidRDefault="004943F7" w:rsidP="00AD746A">
      <w:pPr>
        <w:spacing w:after="120"/>
        <w:rPr>
          <w:rFonts w:ascii="Times New Roman" w:hAnsi="Times New Roman" w:cs="Times New Roman"/>
          <w:b/>
          <w:bCs/>
          <w:sz w:val="24"/>
          <w:szCs w:val="24"/>
        </w:rPr>
      </w:pPr>
      <w:r w:rsidRPr="00AD746A">
        <w:rPr>
          <w:rFonts w:ascii="Times New Roman" w:hAnsi="Times New Roman" w:cs="Times New Roman"/>
          <w:b/>
          <w:bCs/>
          <w:sz w:val="24"/>
          <w:szCs w:val="24"/>
        </w:rPr>
        <w:t xml:space="preserve">Praėjusią savaitę didmeninė elektros kaina Lietuvoje augo 28 proc. ir siekė 60,10 Eur/MWh. Latvijoje ir Estijoje kaina kilo </w:t>
      </w:r>
      <w:r w:rsidR="00AD746A">
        <w:rPr>
          <w:rFonts w:ascii="Times New Roman" w:hAnsi="Times New Roman" w:cs="Times New Roman"/>
          <w:b/>
          <w:bCs/>
          <w:sz w:val="24"/>
          <w:szCs w:val="24"/>
        </w:rPr>
        <w:t xml:space="preserve">mažiau, po </w:t>
      </w:r>
      <w:r w:rsidRPr="00AD746A">
        <w:rPr>
          <w:rFonts w:ascii="Times New Roman" w:hAnsi="Times New Roman" w:cs="Times New Roman"/>
          <w:b/>
          <w:bCs/>
          <w:sz w:val="24"/>
          <w:szCs w:val="24"/>
        </w:rPr>
        <w:t xml:space="preserve">12 proc., iki 52,73 </w:t>
      </w:r>
      <w:r w:rsidRPr="00AD746A">
        <w:rPr>
          <w:rFonts w:ascii="Times New Roman" w:hAnsi="Times New Roman" w:cs="Times New Roman"/>
          <w:b/>
          <w:bCs/>
          <w:color w:val="000000"/>
          <w:sz w:val="24"/>
          <w:szCs w:val="24"/>
          <w:lang w:val="lv-LV"/>
        </w:rPr>
        <w:t>E</w:t>
      </w:r>
      <w:r w:rsidR="00AD746A">
        <w:rPr>
          <w:rFonts w:ascii="Times New Roman" w:hAnsi="Times New Roman" w:cs="Times New Roman"/>
          <w:b/>
          <w:bCs/>
          <w:color w:val="000000"/>
          <w:sz w:val="24"/>
          <w:szCs w:val="24"/>
          <w:lang w:val="lv-LV"/>
        </w:rPr>
        <w:t>ur</w:t>
      </w:r>
      <w:r w:rsidRPr="00AD746A">
        <w:rPr>
          <w:rFonts w:ascii="Times New Roman" w:hAnsi="Times New Roman" w:cs="Times New Roman"/>
          <w:b/>
          <w:bCs/>
          <w:color w:val="000000"/>
          <w:sz w:val="24"/>
          <w:szCs w:val="24"/>
          <w:lang w:val="lv-LV"/>
        </w:rPr>
        <w:t>/MWh</w:t>
      </w:r>
      <w:r w:rsidR="00AD746A">
        <w:rPr>
          <w:rFonts w:ascii="Times New Roman" w:hAnsi="Times New Roman" w:cs="Times New Roman"/>
          <w:b/>
          <w:bCs/>
          <w:color w:val="000000"/>
          <w:sz w:val="24"/>
          <w:szCs w:val="24"/>
          <w:lang w:val="lv-LV"/>
        </w:rPr>
        <w:t>.</w:t>
      </w:r>
      <w:r w:rsidRPr="00AD746A">
        <w:rPr>
          <w:rFonts w:ascii="Times New Roman" w:hAnsi="Times New Roman" w:cs="Times New Roman"/>
          <w:b/>
          <w:bCs/>
          <w:sz w:val="24"/>
          <w:szCs w:val="24"/>
        </w:rPr>
        <w:t xml:space="preserve"> </w:t>
      </w:r>
    </w:p>
    <w:p w14:paraId="651AC289" w14:textId="3E731C79" w:rsidR="004943F7" w:rsidRPr="00AD746A" w:rsidRDefault="004943F7" w:rsidP="00AD746A">
      <w:pPr>
        <w:spacing w:after="120"/>
        <w:rPr>
          <w:rFonts w:ascii="Times New Roman" w:hAnsi="Times New Roman" w:cs="Times New Roman"/>
          <w:sz w:val="24"/>
          <w:szCs w:val="24"/>
        </w:rPr>
      </w:pPr>
      <w:r w:rsidRPr="00AD746A">
        <w:rPr>
          <w:rFonts w:ascii="Times New Roman" w:hAnsi="Times New Roman" w:cs="Times New Roman"/>
          <w:sz w:val="24"/>
          <w:szCs w:val="24"/>
        </w:rPr>
        <w:t>„Elektros kainos augimui Baltijos šalyse didžiausią įtaką darė elektros energijos kainos kaimyninėse šalyse. Savaitinis biržos kainos augimas 37 proc. iki 57,92 E</w:t>
      </w:r>
      <w:r w:rsidR="00AD746A">
        <w:rPr>
          <w:rFonts w:ascii="Times New Roman" w:hAnsi="Times New Roman" w:cs="Times New Roman"/>
          <w:sz w:val="24"/>
          <w:szCs w:val="24"/>
        </w:rPr>
        <w:t>ur</w:t>
      </w:r>
      <w:r w:rsidRPr="00AD746A">
        <w:rPr>
          <w:rFonts w:ascii="Times New Roman" w:hAnsi="Times New Roman" w:cs="Times New Roman"/>
          <w:sz w:val="24"/>
          <w:szCs w:val="24"/>
        </w:rPr>
        <w:t>/MWh Švedijoje sąlygojo 71 proc. sumenkusį elektros srautą iš šios šalies. Tai ir buvo pagrindinė priežastis, kodėl Lietuvoje kaina augo daugiau nei kitose Baltijos šalyse. Latvijos ir Estijos kainai įtaką darė 9 proc. didesnis energijos srautas iš Suomijos ir 29 proc. – iš Rusijos</w:t>
      </w:r>
      <w:r w:rsidR="00AD746A" w:rsidRPr="00AD746A">
        <w:rPr>
          <w:rFonts w:ascii="Times New Roman" w:hAnsi="Times New Roman" w:cs="Times New Roman"/>
          <w:sz w:val="24"/>
          <w:szCs w:val="24"/>
        </w:rPr>
        <w:t>“</w:t>
      </w:r>
      <w:r w:rsidRPr="00AD746A">
        <w:rPr>
          <w:rFonts w:ascii="Times New Roman" w:hAnsi="Times New Roman" w:cs="Times New Roman"/>
          <w:sz w:val="24"/>
          <w:szCs w:val="24"/>
        </w:rPr>
        <w:t>, – sako elektros tiekimo bendrovės „Elektrum Lietuva“ Verslo klientų skyriaus vadovas Artūras Zatulinas.</w:t>
      </w:r>
    </w:p>
    <w:p w14:paraId="078AA860" w14:textId="77777777" w:rsidR="00AD746A" w:rsidRPr="00AD746A" w:rsidRDefault="00AD746A" w:rsidP="00AD746A">
      <w:pPr>
        <w:spacing w:after="120"/>
        <w:rPr>
          <w:rFonts w:ascii="Times New Roman" w:hAnsi="Times New Roman" w:cs="Times New Roman"/>
          <w:sz w:val="24"/>
          <w:szCs w:val="24"/>
        </w:rPr>
      </w:pPr>
      <w:r w:rsidRPr="00AD746A">
        <w:rPr>
          <w:rFonts w:ascii="Times New Roman" w:hAnsi="Times New Roman" w:cs="Times New Roman"/>
          <w:sz w:val="24"/>
          <w:szCs w:val="24"/>
        </w:rPr>
        <w:t xml:space="preserve">„NordPool“ biržos savaitinė kaina didėjo 6 </w:t>
      </w:r>
      <w:r w:rsidRPr="00AD746A">
        <w:rPr>
          <w:rFonts w:ascii="Times New Roman" w:hAnsi="Times New Roman" w:cs="Times New Roman"/>
          <w:sz w:val="24"/>
          <w:szCs w:val="24"/>
          <w:lang w:val="lv-LV"/>
        </w:rPr>
        <w:t>proc. iki 41,66 E</w:t>
      </w:r>
      <w:r>
        <w:rPr>
          <w:rFonts w:ascii="Times New Roman" w:hAnsi="Times New Roman" w:cs="Times New Roman"/>
          <w:sz w:val="24"/>
          <w:szCs w:val="24"/>
          <w:lang w:val="lv-LV"/>
        </w:rPr>
        <w:t>ur</w:t>
      </w:r>
      <w:r w:rsidRPr="00AD746A">
        <w:rPr>
          <w:rFonts w:ascii="Times New Roman" w:hAnsi="Times New Roman" w:cs="Times New Roman"/>
          <w:sz w:val="24"/>
          <w:szCs w:val="24"/>
          <w:lang w:val="lv-LV"/>
        </w:rPr>
        <w:t>/MWh.</w:t>
      </w:r>
      <w:r>
        <w:rPr>
          <w:rFonts w:ascii="Times New Roman" w:hAnsi="Times New Roman" w:cs="Times New Roman"/>
          <w:sz w:val="24"/>
          <w:szCs w:val="24"/>
          <w:lang w:val="lv-LV"/>
        </w:rPr>
        <w:t xml:space="preserve"> </w:t>
      </w:r>
      <w:r w:rsidRPr="00AD746A">
        <w:rPr>
          <w:rFonts w:ascii="Times New Roman" w:hAnsi="Times New Roman" w:cs="Times New Roman"/>
          <w:sz w:val="24"/>
          <w:szCs w:val="24"/>
        </w:rPr>
        <w:t>Biržos kainos augimą lėmė keletas faktorių: savaitės pabaigoje atominės elektrinės gamyba Šiaurės šalyse siekė tik 53 proc. visų pajėgumų, taip pat 8 proc</w:t>
      </w:r>
      <w:r>
        <w:rPr>
          <w:rFonts w:ascii="Times New Roman" w:hAnsi="Times New Roman" w:cs="Times New Roman"/>
          <w:sz w:val="24"/>
          <w:szCs w:val="24"/>
        </w:rPr>
        <w:t>.</w:t>
      </w:r>
      <w:r w:rsidRPr="00AD746A">
        <w:rPr>
          <w:rFonts w:ascii="Times New Roman" w:hAnsi="Times New Roman" w:cs="Times New Roman"/>
          <w:sz w:val="24"/>
          <w:szCs w:val="24"/>
        </w:rPr>
        <w:t xml:space="preserve"> krito ir vėjo gamyba. </w:t>
      </w:r>
    </w:p>
    <w:p w14:paraId="4EA5F8C2" w14:textId="47690C19" w:rsidR="004943F7" w:rsidRPr="00AD746A" w:rsidRDefault="004943F7" w:rsidP="00AD746A">
      <w:pPr>
        <w:spacing w:after="120"/>
        <w:rPr>
          <w:rFonts w:ascii="Times New Roman" w:hAnsi="Times New Roman" w:cs="Times New Roman"/>
          <w:sz w:val="24"/>
          <w:szCs w:val="24"/>
        </w:rPr>
      </w:pPr>
      <w:r w:rsidRPr="00AD746A">
        <w:rPr>
          <w:rFonts w:ascii="Times New Roman" w:hAnsi="Times New Roman" w:cs="Times New Roman"/>
          <w:sz w:val="24"/>
          <w:szCs w:val="24"/>
        </w:rPr>
        <w:t xml:space="preserve">Palyginti su ankstesne savaite, „NordPool“ regione elektros vartojimas išliko </w:t>
      </w:r>
      <w:r w:rsidR="00FE0B9C">
        <w:rPr>
          <w:rFonts w:ascii="Times New Roman" w:hAnsi="Times New Roman" w:cs="Times New Roman"/>
          <w:sz w:val="24"/>
          <w:szCs w:val="24"/>
        </w:rPr>
        <w:t>toks pats</w:t>
      </w:r>
      <w:r w:rsidRPr="00AD746A">
        <w:rPr>
          <w:rFonts w:ascii="Times New Roman" w:hAnsi="Times New Roman" w:cs="Times New Roman"/>
          <w:sz w:val="24"/>
          <w:szCs w:val="24"/>
        </w:rPr>
        <w:t xml:space="preserve"> – </w:t>
      </w:r>
      <w:r w:rsidRPr="00AD746A">
        <w:rPr>
          <w:rFonts w:ascii="Times New Roman" w:hAnsi="Times New Roman" w:cs="Times New Roman"/>
          <w:sz w:val="24"/>
          <w:szCs w:val="24"/>
          <w:lang w:val="lv-LV"/>
        </w:rPr>
        <w:t xml:space="preserve">7 </w:t>
      </w:r>
      <w:r w:rsidRPr="00AD746A">
        <w:rPr>
          <w:rFonts w:ascii="Times New Roman" w:hAnsi="Times New Roman" w:cs="Times New Roman"/>
          <w:sz w:val="24"/>
          <w:szCs w:val="24"/>
        </w:rPr>
        <w:t>108 GWh, gamybos apimtys šiek tiek mažėjo iki 7 000 GWh.</w:t>
      </w:r>
    </w:p>
    <w:p w14:paraId="03058621" w14:textId="2401E50A" w:rsidR="004943F7" w:rsidRPr="00AD746A" w:rsidRDefault="004943F7" w:rsidP="00AD746A">
      <w:pPr>
        <w:spacing w:after="120"/>
        <w:rPr>
          <w:rFonts w:ascii="Times New Roman" w:hAnsi="Times New Roman" w:cs="Times New Roman"/>
          <w:b/>
          <w:bCs/>
          <w:sz w:val="24"/>
          <w:szCs w:val="24"/>
          <w:lang w:val="en-US"/>
        </w:rPr>
      </w:pPr>
      <w:r w:rsidRPr="00AD746A">
        <w:rPr>
          <w:rFonts w:ascii="Times New Roman" w:hAnsi="Times New Roman" w:cs="Times New Roman"/>
          <w:b/>
          <w:bCs/>
          <w:sz w:val="24"/>
          <w:szCs w:val="24"/>
        </w:rPr>
        <w:t>Lietuvoje augo ir elektros gamyba, ir vartojimas</w:t>
      </w:r>
    </w:p>
    <w:p w14:paraId="7983CDD8" w14:textId="0251F0FE" w:rsidR="004943F7" w:rsidRPr="00AD746A" w:rsidRDefault="004943F7" w:rsidP="00AD746A">
      <w:pPr>
        <w:spacing w:after="120"/>
        <w:rPr>
          <w:rFonts w:ascii="Times New Roman" w:hAnsi="Times New Roman" w:cs="Times New Roman"/>
          <w:sz w:val="24"/>
          <w:szCs w:val="24"/>
          <w:lang w:val="lv-LV"/>
        </w:rPr>
      </w:pPr>
      <w:r w:rsidRPr="00AD746A">
        <w:rPr>
          <w:rFonts w:ascii="Times New Roman" w:hAnsi="Times New Roman" w:cs="Times New Roman"/>
          <w:sz w:val="24"/>
          <w:szCs w:val="24"/>
        </w:rPr>
        <w:t xml:space="preserve">Gegužės 24-30 dienomis bendras elektros energijos suvartojimas Baltijos šalyse augo 1 proc. iki 484 GWh. </w:t>
      </w:r>
      <w:r w:rsidR="00FE0B9C" w:rsidRPr="00AD746A">
        <w:rPr>
          <w:rFonts w:ascii="Times New Roman" w:hAnsi="Times New Roman" w:cs="Times New Roman"/>
          <w:sz w:val="24"/>
          <w:szCs w:val="24"/>
        </w:rPr>
        <w:t xml:space="preserve">Lietuvoje elektros energijos vartojimas, </w:t>
      </w:r>
      <w:r w:rsidR="00FE0B9C">
        <w:rPr>
          <w:rFonts w:ascii="Times New Roman" w:hAnsi="Times New Roman" w:cs="Times New Roman"/>
          <w:sz w:val="24"/>
          <w:szCs w:val="24"/>
        </w:rPr>
        <w:t>palyginti</w:t>
      </w:r>
      <w:r w:rsidR="00FE0B9C" w:rsidRPr="00AD746A">
        <w:rPr>
          <w:rFonts w:ascii="Times New Roman" w:hAnsi="Times New Roman" w:cs="Times New Roman"/>
          <w:sz w:val="24"/>
          <w:szCs w:val="24"/>
        </w:rPr>
        <w:t xml:space="preserve"> su ankstesne savaite, augo 3 proc. iki 216 GWh</w:t>
      </w:r>
      <w:r w:rsidR="00FE0B9C">
        <w:rPr>
          <w:rFonts w:ascii="Times New Roman" w:hAnsi="Times New Roman" w:cs="Times New Roman"/>
          <w:sz w:val="24"/>
          <w:szCs w:val="24"/>
        </w:rPr>
        <w:t xml:space="preserve">, </w:t>
      </w:r>
      <w:r w:rsidRPr="00AD746A">
        <w:rPr>
          <w:rFonts w:ascii="Times New Roman" w:hAnsi="Times New Roman" w:cs="Times New Roman"/>
          <w:sz w:val="24"/>
          <w:szCs w:val="24"/>
        </w:rPr>
        <w:t xml:space="preserve">Latvijoje vartojimas didėjo 1 proc. </w:t>
      </w:r>
      <w:r w:rsidR="00441326">
        <w:rPr>
          <w:rFonts w:ascii="Times New Roman" w:hAnsi="Times New Roman" w:cs="Times New Roman"/>
          <w:sz w:val="24"/>
          <w:szCs w:val="24"/>
        </w:rPr>
        <w:t xml:space="preserve">iki </w:t>
      </w:r>
      <w:r w:rsidRPr="00AD746A">
        <w:rPr>
          <w:rFonts w:ascii="Times New Roman" w:hAnsi="Times New Roman" w:cs="Times New Roman"/>
          <w:sz w:val="24"/>
          <w:szCs w:val="24"/>
        </w:rPr>
        <w:t>130 GWh</w:t>
      </w:r>
      <w:r w:rsidR="00FE0B9C">
        <w:rPr>
          <w:rFonts w:ascii="Times New Roman" w:hAnsi="Times New Roman" w:cs="Times New Roman"/>
          <w:sz w:val="24"/>
          <w:szCs w:val="24"/>
        </w:rPr>
        <w:t>.</w:t>
      </w:r>
      <w:r w:rsidRPr="00AD746A">
        <w:rPr>
          <w:rFonts w:ascii="Times New Roman" w:hAnsi="Times New Roman" w:cs="Times New Roman"/>
          <w:sz w:val="24"/>
          <w:szCs w:val="24"/>
        </w:rPr>
        <w:t xml:space="preserve"> Estijoje </w:t>
      </w:r>
      <w:r w:rsidR="00FE0B9C">
        <w:rPr>
          <w:rFonts w:ascii="Times New Roman" w:hAnsi="Times New Roman" w:cs="Times New Roman"/>
          <w:sz w:val="24"/>
          <w:szCs w:val="24"/>
        </w:rPr>
        <w:t>elektros energijos sunaudota</w:t>
      </w:r>
      <w:r w:rsidRPr="00AD746A">
        <w:rPr>
          <w:rFonts w:ascii="Times New Roman" w:hAnsi="Times New Roman" w:cs="Times New Roman"/>
          <w:sz w:val="24"/>
          <w:szCs w:val="24"/>
        </w:rPr>
        <w:t xml:space="preserve"> 3 proc. </w:t>
      </w:r>
      <w:r w:rsidR="00FE0B9C">
        <w:rPr>
          <w:rFonts w:ascii="Times New Roman" w:hAnsi="Times New Roman" w:cs="Times New Roman"/>
          <w:sz w:val="24"/>
          <w:szCs w:val="24"/>
        </w:rPr>
        <w:t>mažiau</w:t>
      </w:r>
      <w:r w:rsidR="00441326">
        <w:rPr>
          <w:rFonts w:ascii="Times New Roman" w:hAnsi="Times New Roman" w:cs="Times New Roman"/>
          <w:sz w:val="24"/>
          <w:szCs w:val="24"/>
        </w:rPr>
        <w:t xml:space="preserve"> </w:t>
      </w:r>
      <w:r w:rsidR="00FE0B9C" w:rsidRPr="00AD746A">
        <w:rPr>
          <w:rFonts w:ascii="Times New Roman" w:hAnsi="Times New Roman" w:cs="Times New Roman"/>
          <w:sz w:val="24"/>
          <w:szCs w:val="24"/>
        </w:rPr>
        <w:t xml:space="preserve">– </w:t>
      </w:r>
      <w:r w:rsidRPr="00AD746A">
        <w:rPr>
          <w:rFonts w:ascii="Times New Roman" w:hAnsi="Times New Roman" w:cs="Times New Roman"/>
          <w:sz w:val="24"/>
          <w:szCs w:val="24"/>
          <w:lang w:val="lv-LV"/>
        </w:rPr>
        <w:t xml:space="preserve">138 </w:t>
      </w:r>
      <w:r w:rsidRPr="00AD746A">
        <w:rPr>
          <w:rFonts w:ascii="Times New Roman" w:hAnsi="Times New Roman" w:cs="Times New Roman"/>
          <w:color w:val="000000"/>
          <w:sz w:val="24"/>
          <w:szCs w:val="24"/>
          <w:lang w:val="lv-LV"/>
        </w:rPr>
        <w:t>GWh</w:t>
      </w:r>
      <w:r w:rsidR="00FE0B9C">
        <w:rPr>
          <w:rFonts w:ascii="Times New Roman" w:hAnsi="Times New Roman" w:cs="Times New Roman"/>
          <w:sz w:val="24"/>
          <w:szCs w:val="24"/>
        </w:rPr>
        <w:t>.</w:t>
      </w:r>
      <w:r w:rsidRPr="00AD746A">
        <w:rPr>
          <w:rFonts w:ascii="Times New Roman" w:hAnsi="Times New Roman" w:cs="Times New Roman"/>
          <w:sz w:val="24"/>
          <w:szCs w:val="24"/>
        </w:rPr>
        <w:t xml:space="preserve"> </w:t>
      </w:r>
    </w:p>
    <w:p w14:paraId="507CDC4E" w14:textId="77777777" w:rsidR="004943F7" w:rsidRPr="00AD746A" w:rsidRDefault="004943F7" w:rsidP="00AD746A">
      <w:pPr>
        <w:spacing w:after="120"/>
        <w:rPr>
          <w:rFonts w:ascii="Times New Roman" w:hAnsi="Times New Roman" w:cs="Times New Roman"/>
          <w:sz w:val="24"/>
          <w:szCs w:val="24"/>
        </w:rPr>
      </w:pPr>
      <w:r w:rsidRPr="00AD746A">
        <w:rPr>
          <w:rFonts w:ascii="Times New Roman" w:hAnsi="Times New Roman" w:cs="Times New Roman"/>
          <w:sz w:val="24"/>
          <w:szCs w:val="24"/>
        </w:rPr>
        <w:t xml:space="preserve">Elektros energijos gamybos apimtys Baltijos šalyse praėjusią savaitę augo 19 proc. ir siekė </w:t>
      </w:r>
      <w:r w:rsidRPr="00AD746A">
        <w:rPr>
          <w:rFonts w:ascii="Times New Roman" w:hAnsi="Times New Roman" w:cs="Times New Roman"/>
          <w:sz w:val="24"/>
          <w:szCs w:val="24"/>
          <w:lang w:val="lv-LV"/>
        </w:rPr>
        <w:t>290</w:t>
      </w:r>
      <w:r w:rsidRPr="00AD746A">
        <w:rPr>
          <w:rFonts w:ascii="Times New Roman" w:hAnsi="Times New Roman" w:cs="Times New Roman"/>
          <w:sz w:val="24"/>
          <w:szCs w:val="24"/>
        </w:rPr>
        <w:t xml:space="preserve"> GWh. Lietuvoje gamyba augo 13 proc. ir siekė 82 GWh, Latvijoje šis rodiklis augo 30 proc. iki 138 GWh, o Estijoje elektros energijos pagaminta 7 proc. daugiau, t. y. 70 GWh. </w:t>
      </w:r>
    </w:p>
    <w:p w14:paraId="1FAE82D4" w14:textId="77777777" w:rsidR="004943F7" w:rsidRPr="00AD746A" w:rsidRDefault="004943F7" w:rsidP="00AD746A">
      <w:pPr>
        <w:spacing w:after="120"/>
        <w:rPr>
          <w:rFonts w:ascii="Times New Roman" w:hAnsi="Times New Roman" w:cs="Times New Roman"/>
          <w:sz w:val="24"/>
          <w:szCs w:val="24"/>
        </w:rPr>
      </w:pPr>
      <w:r w:rsidRPr="00AD746A">
        <w:rPr>
          <w:rFonts w:ascii="Times New Roman" w:hAnsi="Times New Roman" w:cs="Times New Roman"/>
          <w:sz w:val="24"/>
          <w:szCs w:val="24"/>
        </w:rPr>
        <w:t>Per savaitę visos trys Baltijos šalys kartu pagamino 60 proc. joms reikalingos elektros energijos. Lietuvoje pagaminta 38 proc. šaliai reikalingos elektros energijos, Latvijoje – 106 proc., o Estijoje – 51 proc. šaliai reikalingos elektros energijos.</w:t>
      </w:r>
    </w:p>
    <w:p w14:paraId="04DDB6B1" w14:textId="77777777" w:rsidR="004943F7" w:rsidRPr="00AD746A" w:rsidRDefault="004943F7" w:rsidP="00AD746A">
      <w:pPr>
        <w:spacing w:after="120"/>
        <w:rPr>
          <w:rFonts w:ascii="Times New Roman" w:hAnsi="Times New Roman" w:cs="Times New Roman"/>
          <w:sz w:val="24"/>
          <w:szCs w:val="24"/>
        </w:rPr>
      </w:pPr>
    </w:p>
    <w:p w14:paraId="663F625C" w14:textId="48B65634" w:rsidR="00EF2621" w:rsidRPr="00AD746A" w:rsidRDefault="00EF2621" w:rsidP="004943F7">
      <w:pPr>
        <w:spacing w:after="120"/>
        <w:rPr>
          <w:rFonts w:ascii="Times New Roman" w:hAnsi="Times New Roman" w:cs="Times New Roman"/>
          <w:sz w:val="24"/>
          <w:szCs w:val="24"/>
        </w:rPr>
      </w:pPr>
    </w:p>
    <w:bookmarkEnd w:id="0"/>
    <w:p w14:paraId="613E73F6" w14:textId="77777777" w:rsidR="00515C5F" w:rsidRPr="00AD746A" w:rsidRDefault="00515C5F" w:rsidP="002B6B28">
      <w:pPr>
        <w:spacing w:after="120"/>
        <w:rPr>
          <w:rFonts w:ascii="Times New Roman" w:hAnsi="Times New Roman" w:cs="Times New Roman"/>
          <w:sz w:val="24"/>
          <w:szCs w:val="24"/>
        </w:rPr>
      </w:pPr>
    </w:p>
    <w:bookmarkEnd w:id="1"/>
    <w:p w14:paraId="03495625" w14:textId="77777777" w:rsidR="00484E58" w:rsidRPr="00AD746A" w:rsidRDefault="00484E58" w:rsidP="002B6B28">
      <w:pPr>
        <w:pStyle w:val="NormalWeb"/>
        <w:shd w:val="clear" w:color="auto" w:fill="FFFFFF"/>
        <w:spacing w:before="0" w:beforeAutospacing="0" w:after="120" w:afterAutospacing="0"/>
        <w:jc w:val="both"/>
      </w:pPr>
      <w:r w:rsidRPr="00AD746A">
        <w:rPr>
          <w:rStyle w:val="Emphasis"/>
          <w:b/>
          <w:bCs/>
        </w:rPr>
        <w:t>Apie bendrovę:</w:t>
      </w:r>
    </w:p>
    <w:p w14:paraId="2F7A6910" w14:textId="18CA256D" w:rsidR="00484E58" w:rsidRPr="00AD746A" w:rsidRDefault="00484E58" w:rsidP="002B6B28">
      <w:pPr>
        <w:pStyle w:val="NormalWeb"/>
        <w:shd w:val="clear" w:color="auto" w:fill="FFFFFF"/>
        <w:spacing w:before="0" w:beforeAutospacing="0" w:after="120" w:afterAutospacing="0"/>
        <w:jc w:val="both"/>
        <w:rPr>
          <w:b/>
          <w:bCs/>
        </w:rPr>
      </w:pPr>
      <w:r w:rsidRPr="00AD746A">
        <w:rPr>
          <w:i/>
          <w:iCs/>
        </w:rPr>
        <w:t>„Elektrum Lietuva</w:t>
      </w:r>
      <w:r w:rsidR="00FE201C">
        <w:rPr>
          <w:i/>
          <w:iCs/>
        </w:rPr>
        <w:t>“</w:t>
      </w:r>
      <w:r w:rsidRPr="00AD746A">
        <w:rPr>
          <w:i/>
          <w:iCs/>
        </w:rPr>
        <w:t xml:space="preserve"> yra didžiausios Baltijos šalyse elektros gamintojos „Latvenergo“ (Latvija) antrinė įmonė. Įmonių grupė pagamina daugiausiai žaliosios energijos Baltijos šalyse, o Europoje patenka į TOP3 „žaliausių“ gamintojų sąrašą. Bendrovė „Elektrum Lietuva“ šiuo metu tiekia elektrą daugiau nei </w:t>
      </w:r>
      <w:r w:rsidR="00DE5AD3" w:rsidRPr="00AD746A">
        <w:rPr>
          <w:i/>
          <w:iCs/>
        </w:rPr>
        <w:t>90</w:t>
      </w:r>
      <w:r w:rsidRPr="00AD746A">
        <w:rPr>
          <w:i/>
          <w:iCs/>
        </w:rPr>
        <w:t>00 įmonių, savo elektros tiekėju įmonę pasirinko jau virš 22</w:t>
      </w:r>
      <w:r w:rsidR="00A90112">
        <w:rPr>
          <w:i/>
          <w:iCs/>
          <w:lang w:val="lv-LV"/>
        </w:rPr>
        <w:t>6</w:t>
      </w:r>
      <w:r w:rsidRPr="00AD746A">
        <w:rPr>
          <w:i/>
          <w:iCs/>
        </w:rPr>
        <w:t>00 namų ūkių,</w:t>
      </w:r>
      <w:r w:rsidRPr="00AD746A">
        <w:rPr>
          <w:rStyle w:val="BalloonTextChar"/>
          <w:rFonts w:ascii="Times New Roman" w:hAnsi="Times New Roman" w:cs="Times New Roman"/>
          <w:color w:val="222222"/>
          <w:sz w:val="24"/>
          <w:szCs w:val="24"/>
        </w:rPr>
        <w:t xml:space="preserve"> </w:t>
      </w:r>
      <w:r w:rsidRPr="00AD746A">
        <w:rPr>
          <w:rStyle w:val="Emphasis"/>
          <w:color w:val="222222"/>
        </w:rPr>
        <w:t>įmonė tiekia dujas beveik 500 bendrovių, yra įrengusi virš 400 saulės elektrinių bei 1,5 megavatų (MW) galingumo 1 mln. eurų vertės saulės parką pajūryje.</w:t>
      </w:r>
    </w:p>
    <w:p w14:paraId="563C8EDF" w14:textId="63A939BD" w:rsidR="0001689F" w:rsidRPr="00AD746A" w:rsidRDefault="0001689F" w:rsidP="002B6B28">
      <w:pPr>
        <w:spacing w:after="120"/>
        <w:jc w:val="both"/>
        <w:rPr>
          <w:rFonts w:ascii="Times New Roman" w:hAnsi="Times New Roman" w:cs="Times New Roman"/>
          <w:b/>
          <w:bCs/>
          <w:sz w:val="24"/>
          <w:szCs w:val="24"/>
        </w:rPr>
      </w:pPr>
    </w:p>
    <w:p w14:paraId="6C41DE38" w14:textId="77777777" w:rsidR="0001689F" w:rsidRPr="00AD746A" w:rsidRDefault="0001689F" w:rsidP="002B6B28">
      <w:pPr>
        <w:spacing w:after="120"/>
        <w:jc w:val="both"/>
        <w:rPr>
          <w:rFonts w:ascii="Times New Roman" w:hAnsi="Times New Roman" w:cs="Times New Roman"/>
          <w:i/>
          <w:iCs/>
          <w:sz w:val="24"/>
          <w:szCs w:val="24"/>
        </w:rPr>
      </w:pPr>
    </w:p>
    <w:p w14:paraId="420230CC" w14:textId="77777777" w:rsidR="002A3FA6" w:rsidRPr="00AD746A" w:rsidRDefault="002A3FA6" w:rsidP="002B6B28">
      <w:pPr>
        <w:spacing w:after="120"/>
        <w:jc w:val="both"/>
        <w:rPr>
          <w:rFonts w:ascii="Times New Roman" w:hAnsi="Times New Roman" w:cs="Times New Roman"/>
          <w:b/>
          <w:bCs/>
          <w:sz w:val="24"/>
          <w:szCs w:val="24"/>
        </w:rPr>
      </w:pPr>
    </w:p>
    <w:sectPr w:rsidR="002A3FA6" w:rsidRPr="00AD746A">
      <w:headerReference w:type="default" r:id="rId11"/>
      <w:pgSz w:w="11906" w:h="16838"/>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3B3E" w14:textId="77777777" w:rsidR="0027086A" w:rsidRDefault="0027086A" w:rsidP="00FF79C0">
      <w:r>
        <w:separator/>
      </w:r>
    </w:p>
  </w:endnote>
  <w:endnote w:type="continuationSeparator" w:id="0">
    <w:p w14:paraId="3BB7FD14" w14:textId="77777777" w:rsidR="0027086A" w:rsidRDefault="0027086A" w:rsidP="00FF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21BA" w14:textId="77777777" w:rsidR="0027086A" w:rsidRDefault="0027086A" w:rsidP="00FF79C0">
      <w:r>
        <w:separator/>
      </w:r>
    </w:p>
  </w:footnote>
  <w:footnote w:type="continuationSeparator" w:id="0">
    <w:p w14:paraId="26E76434" w14:textId="77777777" w:rsidR="0027086A" w:rsidRDefault="0027086A" w:rsidP="00FF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7A41" w14:textId="183A082A" w:rsidR="00FF79C0" w:rsidRDefault="00FF79C0" w:rsidP="00FF79C0">
    <w:pPr>
      <w:jc w:val="right"/>
    </w:pPr>
    <w:r w:rsidRPr="007F388F">
      <w:rPr>
        <w:noProof/>
        <w:lang w:val="en-US" w:eastAsia="en-US"/>
      </w:rPr>
      <w:drawing>
        <wp:anchor distT="0" distB="0" distL="114300" distR="114300" simplePos="0" relativeHeight="251659264" behindDoc="1" locked="0" layoutInCell="1" allowOverlap="1" wp14:anchorId="57A3A75A" wp14:editId="15FE770F">
          <wp:simplePos x="0" y="0"/>
          <wp:positionH relativeFrom="column">
            <wp:posOffset>-70485</wp:posOffset>
          </wp:positionH>
          <wp:positionV relativeFrom="paragraph">
            <wp:posOffset>-49530</wp:posOffset>
          </wp:positionV>
          <wp:extent cx="1277620" cy="730250"/>
          <wp:effectExtent l="0" t="0" r="0" b="0"/>
          <wp:wrapTight wrapText="bothSides">
            <wp:wrapPolygon edited="0">
              <wp:start x="0" y="0"/>
              <wp:lineTo x="0" y="20849"/>
              <wp:lineTo x="21256" y="20849"/>
              <wp:lineTo x="21256" y="0"/>
              <wp:lineTo x="0" y="0"/>
            </wp:wrapPolygon>
          </wp:wrapTight>
          <wp:docPr id="13" name="Picture 13" descr="Elektrum Lietuva“ vadovauja M. Giga - Regionų nauji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um Lietuva“ vadovauja M. Giga - Regionų naujie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730250"/>
                  </a:xfrm>
                  <a:prstGeom prst="rect">
                    <a:avLst/>
                  </a:prstGeom>
                  <a:noFill/>
                  <a:ln>
                    <a:noFill/>
                  </a:ln>
                </pic:spPr>
              </pic:pic>
            </a:graphicData>
          </a:graphic>
        </wp:anchor>
      </w:drawing>
    </w:r>
  </w:p>
  <w:p w14:paraId="48E578B9" w14:textId="355A98E6" w:rsidR="00FF79C0" w:rsidRPr="00FF79C0" w:rsidRDefault="00FF79C0" w:rsidP="00FF79C0">
    <w:pPr>
      <w:jc w:val="right"/>
      <w:rPr>
        <w:rFonts w:ascii="Times New Roman" w:hAnsi="Times New Roman" w:cs="Times New Roman"/>
        <w:i/>
        <w:iCs/>
        <w:sz w:val="24"/>
        <w:szCs w:val="24"/>
      </w:rPr>
    </w:pPr>
    <w:r w:rsidRPr="00FF79C0">
      <w:rPr>
        <w:rFonts w:ascii="Times New Roman" w:hAnsi="Times New Roman" w:cs="Times New Roman"/>
        <w:i/>
        <w:iCs/>
        <w:sz w:val="24"/>
        <w:szCs w:val="24"/>
      </w:rPr>
      <w:t>Pranešimas žiniasklaidai</w:t>
    </w:r>
  </w:p>
  <w:p w14:paraId="26554007" w14:textId="32B7199E" w:rsidR="00FF79C0" w:rsidRPr="006B5B03" w:rsidRDefault="00FF79C0" w:rsidP="006B5B03">
    <w:pPr>
      <w:jc w:val="right"/>
      <w:rPr>
        <w:rFonts w:ascii="Times New Roman" w:hAnsi="Times New Roman" w:cs="Times New Roman"/>
        <w:i/>
        <w:iCs/>
        <w:sz w:val="24"/>
        <w:szCs w:val="24"/>
      </w:rPr>
    </w:pPr>
    <w:r w:rsidRPr="00FF79C0">
      <w:rPr>
        <w:rFonts w:ascii="Times New Roman" w:hAnsi="Times New Roman" w:cs="Times New Roman"/>
        <w:i/>
        <w:iCs/>
        <w:sz w:val="24"/>
        <w:szCs w:val="24"/>
      </w:rPr>
      <w:t>202</w:t>
    </w:r>
    <w:r w:rsidR="00290B43">
      <w:rPr>
        <w:rFonts w:ascii="Times New Roman" w:hAnsi="Times New Roman" w:cs="Times New Roman"/>
        <w:i/>
        <w:iCs/>
        <w:sz w:val="24"/>
        <w:szCs w:val="24"/>
        <w:lang w:val="en-GB"/>
      </w:rPr>
      <w:t>1</w:t>
    </w:r>
    <w:r w:rsidRPr="00FF79C0">
      <w:rPr>
        <w:rFonts w:ascii="Times New Roman" w:hAnsi="Times New Roman" w:cs="Times New Roman"/>
        <w:i/>
        <w:iCs/>
        <w:sz w:val="24"/>
        <w:szCs w:val="24"/>
      </w:rPr>
      <w:t xml:space="preserve"> m. </w:t>
    </w:r>
    <w:r w:rsidR="00441326">
      <w:rPr>
        <w:rFonts w:ascii="Times New Roman" w:hAnsi="Times New Roman" w:cs="Times New Roman"/>
        <w:i/>
        <w:iCs/>
        <w:sz w:val="24"/>
        <w:szCs w:val="24"/>
      </w:rPr>
      <w:t xml:space="preserve">birželio </w:t>
    </w:r>
    <w:r w:rsidR="00097022">
      <w:rPr>
        <w:rFonts w:ascii="Times New Roman" w:hAnsi="Times New Roman" w:cs="Times New Roman"/>
        <w:i/>
        <w:iCs/>
        <w:sz w:val="24"/>
        <w:szCs w:val="24"/>
        <w:lang w:val="en-GB"/>
      </w:rPr>
      <w:t>1</w:t>
    </w:r>
    <w:r w:rsidR="0086042A">
      <w:rPr>
        <w:rFonts w:ascii="Times New Roman" w:hAnsi="Times New Roman" w:cs="Times New Roman"/>
        <w:i/>
        <w:iCs/>
        <w:sz w:val="24"/>
        <w:szCs w:val="24"/>
      </w:rPr>
      <w:t xml:space="preserve"> </w:t>
    </w:r>
    <w:r w:rsidRPr="00FF79C0">
      <w:rPr>
        <w:rFonts w:ascii="Times New Roman" w:hAnsi="Times New Roman" w:cs="Times New Roman"/>
        <w:i/>
        <w:iCs/>
        <w:sz w:val="24"/>
        <w:szCs w:val="24"/>
      </w:rPr>
      <w:t>d.</w:t>
    </w:r>
  </w:p>
  <w:p w14:paraId="31FDEDD5" w14:textId="467306AE" w:rsidR="00FF79C0" w:rsidRDefault="00FF7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297"/>
    <w:multiLevelType w:val="hybridMultilevel"/>
    <w:tmpl w:val="C83A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87262D"/>
    <w:multiLevelType w:val="hybridMultilevel"/>
    <w:tmpl w:val="7D4C2AEA"/>
    <w:lvl w:ilvl="0" w:tplc="AC582326">
      <w:start w:val="1"/>
      <w:numFmt w:val="bullet"/>
      <w:lvlText w:val="•"/>
      <w:lvlJc w:val="left"/>
      <w:pPr>
        <w:tabs>
          <w:tab w:val="num" w:pos="720"/>
        </w:tabs>
        <w:ind w:left="720" w:hanging="360"/>
      </w:pPr>
      <w:rPr>
        <w:rFonts w:ascii="Arial" w:hAnsi="Arial" w:hint="default"/>
      </w:rPr>
    </w:lvl>
    <w:lvl w:ilvl="1" w:tplc="C7F209F4" w:tentative="1">
      <w:start w:val="1"/>
      <w:numFmt w:val="bullet"/>
      <w:lvlText w:val="•"/>
      <w:lvlJc w:val="left"/>
      <w:pPr>
        <w:tabs>
          <w:tab w:val="num" w:pos="1440"/>
        </w:tabs>
        <w:ind w:left="1440" w:hanging="360"/>
      </w:pPr>
      <w:rPr>
        <w:rFonts w:ascii="Arial" w:hAnsi="Arial" w:hint="default"/>
      </w:rPr>
    </w:lvl>
    <w:lvl w:ilvl="2" w:tplc="47DC255A" w:tentative="1">
      <w:start w:val="1"/>
      <w:numFmt w:val="bullet"/>
      <w:lvlText w:val="•"/>
      <w:lvlJc w:val="left"/>
      <w:pPr>
        <w:tabs>
          <w:tab w:val="num" w:pos="2160"/>
        </w:tabs>
        <w:ind w:left="2160" w:hanging="360"/>
      </w:pPr>
      <w:rPr>
        <w:rFonts w:ascii="Arial" w:hAnsi="Arial" w:hint="default"/>
      </w:rPr>
    </w:lvl>
    <w:lvl w:ilvl="3" w:tplc="33A8FA22" w:tentative="1">
      <w:start w:val="1"/>
      <w:numFmt w:val="bullet"/>
      <w:lvlText w:val="•"/>
      <w:lvlJc w:val="left"/>
      <w:pPr>
        <w:tabs>
          <w:tab w:val="num" w:pos="2880"/>
        </w:tabs>
        <w:ind w:left="2880" w:hanging="360"/>
      </w:pPr>
      <w:rPr>
        <w:rFonts w:ascii="Arial" w:hAnsi="Arial" w:hint="default"/>
      </w:rPr>
    </w:lvl>
    <w:lvl w:ilvl="4" w:tplc="889439BA" w:tentative="1">
      <w:start w:val="1"/>
      <w:numFmt w:val="bullet"/>
      <w:lvlText w:val="•"/>
      <w:lvlJc w:val="left"/>
      <w:pPr>
        <w:tabs>
          <w:tab w:val="num" w:pos="3600"/>
        </w:tabs>
        <w:ind w:left="3600" w:hanging="360"/>
      </w:pPr>
      <w:rPr>
        <w:rFonts w:ascii="Arial" w:hAnsi="Arial" w:hint="default"/>
      </w:rPr>
    </w:lvl>
    <w:lvl w:ilvl="5" w:tplc="007C1480" w:tentative="1">
      <w:start w:val="1"/>
      <w:numFmt w:val="bullet"/>
      <w:lvlText w:val="•"/>
      <w:lvlJc w:val="left"/>
      <w:pPr>
        <w:tabs>
          <w:tab w:val="num" w:pos="4320"/>
        </w:tabs>
        <w:ind w:left="4320" w:hanging="360"/>
      </w:pPr>
      <w:rPr>
        <w:rFonts w:ascii="Arial" w:hAnsi="Arial" w:hint="default"/>
      </w:rPr>
    </w:lvl>
    <w:lvl w:ilvl="6" w:tplc="C9BCED72" w:tentative="1">
      <w:start w:val="1"/>
      <w:numFmt w:val="bullet"/>
      <w:lvlText w:val="•"/>
      <w:lvlJc w:val="left"/>
      <w:pPr>
        <w:tabs>
          <w:tab w:val="num" w:pos="5040"/>
        </w:tabs>
        <w:ind w:left="5040" w:hanging="360"/>
      </w:pPr>
      <w:rPr>
        <w:rFonts w:ascii="Arial" w:hAnsi="Arial" w:hint="default"/>
      </w:rPr>
    </w:lvl>
    <w:lvl w:ilvl="7" w:tplc="DDE8880A" w:tentative="1">
      <w:start w:val="1"/>
      <w:numFmt w:val="bullet"/>
      <w:lvlText w:val="•"/>
      <w:lvlJc w:val="left"/>
      <w:pPr>
        <w:tabs>
          <w:tab w:val="num" w:pos="5760"/>
        </w:tabs>
        <w:ind w:left="5760" w:hanging="360"/>
      </w:pPr>
      <w:rPr>
        <w:rFonts w:ascii="Arial" w:hAnsi="Arial" w:hint="default"/>
      </w:rPr>
    </w:lvl>
    <w:lvl w:ilvl="8" w:tplc="51CEA0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C36DFB"/>
    <w:multiLevelType w:val="multilevel"/>
    <w:tmpl w:val="25A0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160DD"/>
    <w:multiLevelType w:val="hybridMultilevel"/>
    <w:tmpl w:val="8B468B9C"/>
    <w:lvl w:ilvl="0" w:tplc="86A019BA">
      <w:start w:val="1"/>
      <w:numFmt w:val="bullet"/>
      <w:lvlText w:val="•"/>
      <w:lvlJc w:val="left"/>
      <w:pPr>
        <w:tabs>
          <w:tab w:val="num" w:pos="720"/>
        </w:tabs>
        <w:ind w:left="720" w:hanging="360"/>
      </w:pPr>
      <w:rPr>
        <w:rFonts w:ascii="Arial" w:hAnsi="Arial" w:hint="default"/>
      </w:rPr>
    </w:lvl>
    <w:lvl w:ilvl="1" w:tplc="4920D33E" w:tentative="1">
      <w:start w:val="1"/>
      <w:numFmt w:val="bullet"/>
      <w:lvlText w:val="•"/>
      <w:lvlJc w:val="left"/>
      <w:pPr>
        <w:tabs>
          <w:tab w:val="num" w:pos="1440"/>
        </w:tabs>
        <w:ind w:left="1440" w:hanging="360"/>
      </w:pPr>
      <w:rPr>
        <w:rFonts w:ascii="Arial" w:hAnsi="Arial" w:hint="default"/>
      </w:rPr>
    </w:lvl>
    <w:lvl w:ilvl="2" w:tplc="67D25482" w:tentative="1">
      <w:start w:val="1"/>
      <w:numFmt w:val="bullet"/>
      <w:lvlText w:val="•"/>
      <w:lvlJc w:val="left"/>
      <w:pPr>
        <w:tabs>
          <w:tab w:val="num" w:pos="2160"/>
        </w:tabs>
        <w:ind w:left="2160" w:hanging="360"/>
      </w:pPr>
      <w:rPr>
        <w:rFonts w:ascii="Arial" w:hAnsi="Arial" w:hint="default"/>
      </w:rPr>
    </w:lvl>
    <w:lvl w:ilvl="3" w:tplc="545A87FC" w:tentative="1">
      <w:start w:val="1"/>
      <w:numFmt w:val="bullet"/>
      <w:lvlText w:val="•"/>
      <w:lvlJc w:val="left"/>
      <w:pPr>
        <w:tabs>
          <w:tab w:val="num" w:pos="2880"/>
        </w:tabs>
        <w:ind w:left="2880" w:hanging="360"/>
      </w:pPr>
      <w:rPr>
        <w:rFonts w:ascii="Arial" w:hAnsi="Arial" w:hint="default"/>
      </w:rPr>
    </w:lvl>
    <w:lvl w:ilvl="4" w:tplc="635298A0" w:tentative="1">
      <w:start w:val="1"/>
      <w:numFmt w:val="bullet"/>
      <w:lvlText w:val="•"/>
      <w:lvlJc w:val="left"/>
      <w:pPr>
        <w:tabs>
          <w:tab w:val="num" w:pos="3600"/>
        </w:tabs>
        <w:ind w:left="3600" w:hanging="360"/>
      </w:pPr>
      <w:rPr>
        <w:rFonts w:ascii="Arial" w:hAnsi="Arial" w:hint="default"/>
      </w:rPr>
    </w:lvl>
    <w:lvl w:ilvl="5" w:tplc="D1240724" w:tentative="1">
      <w:start w:val="1"/>
      <w:numFmt w:val="bullet"/>
      <w:lvlText w:val="•"/>
      <w:lvlJc w:val="left"/>
      <w:pPr>
        <w:tabs>
          <w:tab w:val="num" w:pos="4320"/>
        </w:tabs>
        <w:ind w:left="4320" w:hanging="360"/>
      </w:pPr>
      <w:rPr>
        <w:rFonts w:ascii="Arial" w:hAnsi="Arial" w:hint="default"/>
      </w:rPr>
    </w:lvl>
    <w:lvl w:ilvl="6" w:tplc="38A4720C" w:tentative="1">
      <w:start w:val="1"/>
      <w:numFmt w:val="bullet"/>
      <w:lvlText w:val="•"/>
      <w:lvlJc w:val="left"/>
      <w:pPr>
        <w:tabs>
          <w:tab w:val="num" w:pos="5040"/>
        </w:tabs>
        <w:ind w:left="5040" w:hanging="360"/>
      </w:pPr>
      <w:rPr>
        <w:rFonts w:ascii="Arial" w:hAnsi="Arial" w:hint="default"/>
      </w:rPr>
    </w:lvl>
    <w:lvl w:ilvl="7" w:tplc="B1BAD508" w:tentative="1">
      <w:start w:val="1"/>
      <w:numFmt w:val="bullet"/>
      <w:lvlText w:val="•"/>
      <w:lvlJc w:val="left"/>
      <w:pPr>
        <w:tabs>
          <w:tab w:val="num" w:pos="5760"/>
        </w:tabs>
        <w:ind w:left="5760" w:hanging="360"/>
      </w:pPr>
      <w:rPr>
        <w:rFonts w:ascii="Arial" w:hAnsi="Arial" w:hint="default"/>
      </w:rPr>
    </w:lvl>
    <w:lvl w:ilvl="8" w:tplc="4F8C2FD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D1"/>
    <w:rsid w:val="00002BFB"/>
    <w:rsid w:val="000075F2"/>
    <w:rsid w:val="00007909"/>
    <w:rsid w:val="0001689F"/>
    <w:rsid w:val="000202DA"/>
    <w:rsid w:val="00021E5F"/>
    <w:rsid w:val="00023BD2"/>
    <w:rsid w:val="00026715"/>
    <w:rsid w:val="0003155B"/>
    <w:rsid w:val="00050CBF"/>
    <w:rsid w:val="00053E40"/>
    <w:rsid w:val="00064B49"/>
    <w:rsid w:val="00075956"/>
    <w:rsid w:val="00076F22"/>
    <w:rsid w:val="00082005"/>
    <w:rsid w:val="00090DBF"/>
    <w:rsid w:val="0009319F"/>
    <w:rsid w:val="00094FE5"/>
    <w:rsid w:val="00097022"/>
    <w:rsid w:val="000A5886"/>
    <w:rsid w:val="000A5FB6"/>
    <w:rsid w:val="000C55EF"/>
    <w:rsid w:val="000D1248"/>
    <w:rsid w:val="000D387E"/>
    <w:rsid w:val="000F198B"/>
    <w:rsid w:val="00101E78"/>
    <w:rsid w:val="00105335"/>
    <w:rsid w:val="0010564A"/>
    <w:rsid w:val="00113E74"/>
    <w:rsid w:val="00122257"/>
    <w:rsid w:val="00134376"/>
    <w:rsid w:val="00143772"/>
    <w:rsid w:val="00145901"/>
    <w:rsid w:val="00162A17"/>
    <w:rsid w:val="00193C05"/>
    <w:rsid w:val="001A1B53"/>
    <w:rsid w:val="001A4135"/>
    <w:rsid w:val="001B392A"/>
    <w:rsid w:val="001C0A56"/>
    <w:rsid w:val="001C17EF"/>
    <w:rsid w:val="001C7785"/>
    <w:rsid w:val="001D0D7E"/>
    <w:rsid w:val="001D0E81"/>
    <w:rsid w:val="001D5FFF"/>
    <w:rsid w:val="001E44CE"/>
    <w:rsid w:val="001F0C69"/>
    <w:rsid w:val="001F0D7B"/>
    <w:rsid w:val="001F20FB"/>
    <w:rsid w:val="001F54E7"/>
    <w:rsid w:val="001F7759"/>
    <w:rsid w:val="00205B4B"/>
    <w:rsid w:val="00206160"/>
    <w:rsid w:val="00220FC6"/>
    <w:rsid w:val="00225311"/>
    <w:rsid w:val="00225E3C"/>
    <w:rsid w:val="0023083B"/>
    <w:rsid w:val="00237A06"/>
    <w:rsid w:val="002447FD"/>
    <w:rsid w:val="00253A18"/>
    <w:rsid w:val="00256FE0"/>
    <w:rsid w:val="00260C26"/>
    <w:rsid w:val="002663D9"/>
    <w:rsid w:val="0027086A"/>
    <w:rsid w:val="00270A4F"/>
    <w:rsid w:val="00270A6D"/>
    <w:rsid w:val="002718F8"/>
    <w:rsid w:val="00272D27"/>
    <w:rsid w:val="002816E4"/>
    <w:rsid w:val="002819BF"/>
    <w:rsid w:val="0028559B"/>
    <w:rsid w:val="00290B43"/>
    <w:rsid w:val="00292E8B"/>
    <w:rsid w:val="002A3EEC"/>
    <w:rsid w:val="002A3FA6"/>
    <w:rsid w:val="002B0D14"/>
    <w:rsid w:val="002B6B28"/>
    <w:rsid w:val="002B7EAA"/>
    <w:rsid w:val="002C2CBC"/>
    <w:rsid w:val="002D2BA0"/>
    <w:rsid w:val="002E5C77"/>
    <w:rsid w:val="003031C2"/>
    <w:rsid w:val="003038DF"/>
    <w:rsid w:val="00305802"/>
    <w:rsid w:val="00321EDC"/>
    <w:rsid w:val="003251EC"/>
    <w:rsid w:val="00326015"/>
    <w:rsid w:val="00330152"/>
    <w:rsid w:val="0033162D"/>
    <w:rsid w:val="0034377F"/>
    <w:rsid w:val="00343C54"/>
    <w:rsid w:val="00344F4F"/>
    <w:rsid w:val="00351EAB"/>
    <w:rsid w:val="00357A36"/>
    <w:rsid w:val="0037700E"/>
    <w:rsid w:val="003922F9"/>
    <w:rsid w:val="0039271C"/>
    <w:rsid w:val="003A1793"/>
    <w:rsid w:val="003A3626"/>
    <w:rsid w:val="003B31DA"/>
    <w:rsid w:val="003B7295"/>
    <w:rsid w:val="003B7F94"/>
    <w:rsid w:val="003C1715"/>
    <w:rsid w:val="003C188E"/>
    <w:rsid w:val="003C2C56"/>
    <w:rsid w:val="003D37FF"/>
    <w:rsid w:val="003D70AC"/>
    <w:rsid w:val="003E0FDB"/>
    <w:rsid w:val="003E62DC"/>
    <w:rsid w:val="003F6943"/>
    <w:rsid w:val="003F7303"/>
    <w:rsid w:val="00416C6D"/>
    <w:rsid w:val="00430E3B"/>
    <w:rsid w:val="00433F20"/>
    <w:rsid w:val="00437271"/>
    <w:rsid w:val="00441326"/>
    <w:rsid w:val="00445E5E"/>
    <w:rsid w:val="00453557"/>
    <w:rsid w:val="004574ED"/>
    <w:rsid w:val="00457AF8"/>
    <w:rsid w:val="00467D9D"/>
    <w:rsid w:val="00483F0D"/>
    <w:rsid w:val="00484E58"/>
    <w:rsid w:val="00485167"/>
    <w:rsid w:val="00485E3E"/>
    <w:rsid w:val="00486591"/>
    <w:rsid w:val="004943F7"/>
    <w:rsid w:val="004954D5"/>
    <w:rsid w:val="00496BE6"/>
    <w:rsid w:val="00497CD5"/>
    <w:rsid w:val="004A699D"/>
    <w:rsid w:val="004B6DDF"/>
    <w:rsid w:val="004D2DCC"/>
    <w:rsid w:val="004E68A4"/>
    <w:rsid w:val="004F3352"/>
    <w:rsid w:val="004F3B39"/>
    <w:rsid w:val="00501B4C"/>
    <w:rsid w:val="0050361E"/>
    <w:rsid w:val="005057F7"/>
    <w:rsid w:val="005111CC"/>
    <w:rsid w:val="00514622"/>
    <w:rsid w:val="00515C5F"/>
    <w:rsid w:val="0053080B"/>
    <w:rsid w:val="00547C01"/>
    <w:rsid w:val="005558E9"/>
    <w:rsid w:val="00555AEE"/>
    <w:rsid w:val="005653E2"/>
    <w:rsid w:val="00571053"/>
    <w:rsid w:val="005839FC"/>
    <w:rsid w:val="0058620F"/>
    <w:rsid w:val="00587BD1"/>
    <w:rsid w:val="005A08A8"/>
    <w:rsid w:val="005B1158"/>
    <w:rsid w:val="005B3D07"/>
    <w:rsid w:val="005B4360"/>
    <w:rsid w:val="005D6DF8"/>
    <w:rsid w:val="005E0C60"/>
    <w:rsid w:val="005F6EE3"/>
    <w:rsid w:val="006101E0"/>
    <w:rsid w:val="00615A3A"/>
    <w:rsid w:val="00625DF5"/>
    <w:rsid w:val="00634969"/>
    <w:rsid w:val="0063625F"/>
    <w:rsid w:val="00655E7B"/>
    <w:rsid w:val="00657425"/>
    <w:rsid w:val="006873C9"/>
    <w:rsid w:val="006944AA"/>
    <w:rsid w:val="006A5D4A"/>
    <w:rsid w:val="006A74F1"/>
    <w:rsid w:val="006B0F84"/>
    <w:rsid w:val="006B5B03"/>
    <w:rsid w:val="006B788E"/>
    <w:rsid w:val="006C049C"/>
    <w:rsid w:val="006E1C73"/>
    <w:rsid w:val="006E3780"/>
    <w:rsid w:val="006E7748"/>
    <w:rsid w:val="006F2492"/>
    <w:rsid w:val="006F702D"/>
    <w:rsid w:val="00720208"/>
    <w:rsid w:val="007218C2"/>
    <w:rsid w:val="0073273E"/>
    <w:rsid w:val="00734233"/>
    <w:rsid w:val="007455EF"/>
    <w:rsid w:val="00747A21"/>
    <w:rsid w:val="007552AC"/>
    <w:rsid w:val="00760143"/>
    <w:rsid w:val="00761E2B"/>
    <w:rsid w:val="00771392"/>
    <w:rsid w:val="00771AFE"/>
    <w:rsid w:val="00774CE0"/>
    <w:rsid w:val="0077712D"/>
    <w:rsid w:val="0079093D"/>
    <w:rsid w:val="007D549A"/>
    <w:rsid w:val="007E68EF"/>
    <w:rsid w:val="007E7440"/>
    <w:rsid w:val="007F02A2"/>
    <w:rsid w:val="0080324F"/>
    <w:rsid w:val="00816742"/>
    <w:rsid w:val="00817F91"/>
    <w:rsid w:val="0082300D"/>
    <w:rsid w:val="008404A3"/>
    <w:rsid w:val="00844878"/>
    <w:rsid w:val="00850762"/>
    <w:rsid w:val="00852360"/>
    <w:rsid w:val="0085267F"/>
    <w:rsid w:val="00853ED2"/>
    <w:rsid w:val="0085746F"/>
    <w:rsid w:val="0086042A"/>
    <w:rsid w:val="00866E7A"/>
    <w:rsid w:val="0087064D"/>
    <w:rsid w:val="0089013F"/>
    <w:rsid w:val="00892B3D"/>
    <w:rsid w:val="008A09AB"/>
    <w:rsid w:val="008A23EA"/>
    <w:rsid w:val="008A647D"/>
    <w:rsid w:val="008C078A"/>
    <w:rsid w:val="008C5739"/>
    <w:rsid w:val="008C58A9"/>
    <w:rsid w:val="008D102C"/>
    <w:rsid w:val="008D201B"/>
    <w:rsid w:val="008E2A85"/>
    <w:rsid w:val="008E4A01"/>
    <w:rsid w:val="008E4F47"/>
    <w:rsid w:val="008E5BF4"/>
    <w:rsid w:val="008E60A5"/>
    <w:rsid w:val="008F5508"/>
    <w:rsid w:val="009018D1"/>
    <w:rsid w:val="00920E2D"/>
    <w:rsid w:val="00920E86"/>
    <w:rsid w:val="00937B6F"/>
    <w:rsid w:val="00942577"/>
    <w:rsid w:val="00961778"/>
    <w:rsid w:val="00970DB5"/>
    <w:rsid w:val="00973620"/>
    <w:rsid w:val="00993A80"/>
    <w:rsid w:val="009941C5"/>
    <w:rsid w:val="009A41CF"/>
    <w:rsid w:val="009A5547"/>
    <w:rsid w:val="009B5D27"/>
    <w:rsid w:val="009B7F90"/>
    <w:rsid w:val="009D48DA"/>
    <w:rsid w:val="009E5564"/>
    <w:rsid w:val="009F326E"/>
    <w:rsid w:val="00A15322"/>
    <w:rsid w:val="00A177CF"/>
    <w:rsid w:val="00A21ECE"/>
    <w:rsid w:val="00A26187"/>
    <w:rsid w:val="00A3679F"/>
    <w:rsid w:val="00A37E4A"/>
    <w:rsid w:val="00A41F1C"/>
    <w:rsid w:val="00A4210B"/>
    <w:rsid w:val="00A46F64"/>
    <w:rsid w:val="00A47354"/>
    <w:rsid w:val="00A5356F"/>
    <w:rsid w:val="00A54A43"/>
    <w:rsid w:val="00A57FCB"/>
    <w:rsid w:val="00A6058F"/>
    <w:rsid w:val="00A640C4"/>
    <w:rsid w:val="00A65150"/>
    <w:rsid w:val="00A707AB"/>
    <w:rsid w:val="00A722FC"/>
    <w:rsid w:val="00A727B4"/>
    <w:rsid w:val="00A83488"/>
    <w:rsid w:val="00A84401"/>
    <w:rsid w:val="00A86EDA"/>
    <w:rsid w:val="00A90112"/>
    <w:rsid w:val="00AB3A2D"/>
    <w:rsid w:val="00AC00C0"/>
    <w:rsid w:val="00AC3D28"/>
    <w:rsid w:val="00AD746A"/>
    <w:rsid w:val="00AE79F0"/>
    <w:rsid w:val="00AF3697"/>
    <w:rsid w:val="00B03D06"/>
    <w:rsid w:val="00B11ACD"/>
    <w:rsid w:val="00B236BC"/>
    <w:rsid w:val="00B3755D"/>
    <w:rsid w:val="00B444AB"/>
    <w:rsid w:val="00B47407"/>
    <w:rsid w:val="00B54DD7"/>
    <w:rsid w:val="00B564D1"/>
    <w:rsid w:val="00B70AB6"/>
    <w:rsid w:val="00B9042E"/>
    <w:rsid w:val="00BA3BF8"/>
    <w:rsid w:val="00BC3BAF"/>
    <w:rsid w:val="00BC540D"/>
    <w:rsid w:val="00BC7533"/>
    <w:rsid w:val="00BE3F06"/>
    <w:rsid w:val="00BE7936"/>
    <w:rsid w:val="00BF1498"/>
    <w:rsid w:val="00BF5300"/>
    <w:rsid w:val="00BF5F85"/>
    <w:rsid w:val="00C06D43"/>
    <w:rsid w:val="00C13395"/>
    <w:rsid w:val="00C220CA"/>
    <w:rsid w:val="00C27DC8"/>
    <w:rsid w:val="00C357DC"/>
    <w:rsid w:val="00C367E1"/>
    <w:rsid w:val="00C477C2"/>
    <w:rsid w:val="00C51006"/>
    <w:rsid w:val="00C5417C"/>
    <w:rsid w:val="00C61C1D"/>
    <w:rsid w:val="00C75C2E"/>
    <w:rsid w:val="00C87E6D"/>
    <w:rsid w:val="00C93ED2"/>
    <w:rsid w:val="00CA7D3F"/>
    <w:rsid w:val="00CB74F4"/>
    <w:rsid w:val="00CE74CF"/>
    <w:rsid w:val="00CF07FF"/>
    <w:rsid w:val="00CF4820"/>
    <w:rsid w:val="00D02C61"/>
    <w:rsid w:val="00D06031"/>
    <w:rsid w:val="00D11B2C"/>
    <w:rsid w:val="00D138AE"/>
    <w:rsid w:val="00D26EC7"/>
    <w:rsid w:val="00D27799"/>
    <w:rsid w:val="00D328C1"/>
    <w:rsid w:val="00D32D75"/>
    <w:rsid w:val="00D33048"/>
    <w:rsid w:val="00D571F0"/>
    <w:rsid w:val="00D62B6E"/>
    <w:rsid w:val="00D64568"/>
    <w:rsid w:val="00D72346"/>
    <w:rsid w:val="00D779B4"/>
    <w:rsid w:val="00D80938"/>
    <w:rsid w:val="00D8167B"/>
    <w:rsid w:val="00DA5A97"/>
    <w:rsid w:val="00DA77E4"/>
    <w:rsid w:val="00DB055B"/>
    <w:rsid w:val="00DC60C5"/>
    <w:rsid w:val="00DD065E"/>
    <w:rsid w:val="00DD4B08"/>
    <w:rsid w:val="00DE1C63"/>
    <w:rsid w:val="00DE5AD3"/>
    <w:rsid w:val="00DE73AD"/>
    <w:rsid w:val="00DF5063"/>
    <w:rsid w:val="00DF5E0E"/>
    <w:rsid w:val="00E04C98"/>
    <w:rsid w:val="00E0655A"/>
    <w:rsid w:val="00E10667"/>
    <w:rsid w:val="00E21A16"/>
    <w:rsid w:val="00E21A3F"/>
    <w:rsid w:val="00E37A6F"/>
    <w:rsid w:val="00E4608F"/>
    <w:rsid w:val="00E52C02"/>
    <w:rsid w:val="00E52C2B"/>
    <w:rsid w:val="00E60C5E"/>
    <w:rsid w:val="00E73943"/>
    <w:rsid w:val="00E776F5"/>
    <w:rsid w:val="00E77940"/>
    <w:rsid w:val="00E865DD"/>
    <w:rsid w:val="00E934E6"/>
    <w:rsid w:val="00EA7157"/>
    <w:rsid w:val="00EB2DE2"/>
    <w:rsid w:val="00EC05EF"/>
    <w:rsid w:val="00EC3E8E"/>
    <w:rsid w:val="00EC5BAA"/>
    <w:rsid w:val="00EC61D5"/>
    <w:rsid w:val="00ED5B51"/>
    <w:rsid w:val="00EE2BAE"/>
    <w:rsid w:val="00EE4F15"/>
    <w:rsid w:val="00EF1204"/>
    <w:rsid w:val="00EF2621"/>
    <w:rsid w:val="00EF46F2"/>
    <w:rsid w:val="00EF4AB0"/>
    <w:rsid w:val="00EF7764"/>
    <w:rsid w:val="00F001BB"/>
    <w:rsid w:val="00F0546D"/>
    <w:rsid w:val="00F056BA"/>
    <w:rsid w:val="00F07FD6"/>
    <w:rsid w:val="00F134B8"/>
    <w:rsid w:val="00F37C51"/>
    <w:rsid w:val="00F37DFC"/>
    <w:rsid w:val="00F65AD8"/>
    <w:rsid w:val="00F67157"/>
    <w:rsid w:val="00F70DEE"/>
    <w:rsid w:val="00F9084D"/>
    <w:rsid w:val="00F90CD3"/>
    <w:rsid w:val="00FA0557"/>
    <w:rsid w:val="00FA3261"/>
    <w:rsid w:val="00FB3A5A"/>
    <w:rsid w:val="00FC1628"/>
    <w:rsid w:val="00FC267C"/>
    <w:rsid w:val="00FE0B9C"/>
    <w:rsid w:val="00FE201C"/>
    <w:rsid w:val="00FE315E"/>
    <w:rsid w:val="00FE63F1"/>
    <w:rsid w:val="00FE71EE"/>
    <w:rsid w:val="00FF50B4"/>
    <w:rsid w:val="00FF6D46"/>
    <w:rsid w:val="00FF79C0"/>
    <w:rsid w:val="0149A107"/>
    <w:rsid w:val="01E93E15"/>
    <w:rsid w:val="105AC707"/>
    <w:rsid w:val="149F5319"/>
    <w:rsid w:val="18964D36"/>
    <w:rsid w:val="1CCFA7CB"/>
    <w:rsid w:val="1E09E8CE"/>
    <w:rsid w:val="313CFDDC"/>
    <w:rsid w:val="7D4D0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3C42"/>
  <w15:docId w15:val="{D9075AB2-EE30-4FFE-BA9F-CB810A50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C9"/>
    <w:pPr>
      <w:spacing w:after="0" w:line="240" w:lineRule="auto"/>
    </w:pPr>
    <w:rPr>
      <w:rFonts w:ascii="Calibri" w:hAnsi="Calibri" w:cs="Calibri"/>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C7"/>
    <w:rPr>
      <w:rFonts w:ascii="Segoe UI" w:hAnsi="Segoe UI" w:cs="Segoe UI"/>
      <w:sz w:val="18"/>
      <w:szCs w:val="18"/>
    </w:rPr>
  </w:style>
  <w:style w:type="character" w:styleId="Hyperlink">
    <w:name w:val="Hyperlink"/>
    <w:basedOn w:val="DefaultParagraphFont"/>
    <w:uiPriority w:val="99"/>
    <w:unhideWhenUsed/>
    <w:rsid w:val="00E21A16"/>
    <w:rPr>
      <w:color w:val="0000FF"/>
      <w:u w:val="single"/>
    </w:rPr>
  </w:style>
  <w:style w:type="character" w:styleId="CommentReference">
    <w:name w:val="annotation reference"/>
    <w:basedOn w:val="DefaultParagraphFont"/>
    <w:uiPriority w:val="99"/>
    <w:semiHidden/>
    <w:unhideWhenUsed/>
    <w:rsid w:val="00D328C1"/>
    <w:rPr>
      <w:sz w:val="16"/>
      <w:szCs w:val="16"/>
    </w:rPr>
  </w:style>
  <w:style w:type="paragraph" w:styleId="CommentText">
    <w:name w:val="annotation text"/>
    <w:basedOn w:val="Normal"/>
    <w:link w:val="CommentTextChar"/>
    <w:uiPriority w:val="99"/>
    <w:unhideWhenUsed/>
    <w:rsid w:val="00D328C1"/>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328C1"/>
    <w:rPr>
      <w:sz w:val="20"/>
      <w:szCs w:val="20"/>
    </w:rPr>
  </w:style>
  <w:style w:type="paragraph" w:styleId="CommentSubject">
    <w:name w:val="annotation subject"/>
    <w:basedOn w:val="CommentText"/>
    <w:next w:val="CommentText"/>
    <w:link w:val="CommentSubjectChar"/>
    <w:uiPriority w:val="99"/>
    <w:semiHidden/>
    <w:unhideWhenUsed/>
    <w:rsid w:val="00D328C1"/>
    <w:rPr>
      <w:b/>
      <w:bCs/>
    </w:rPr>
  </w:style>
  <w:style w:type="character" w:customStyle="1" w:styleId="CommentSubjectChar">
    <w:name w:val="Comment Subject Char"/>
    <w:basedOn w:val="CommentTextChar"/>
    <w:link w:val="CommentSubject"/>
    <w:uiPriority w:val="99"/>
    <w:semiHidden/>
    <w:rsid w:val="00D328C1"/>
    <w:rPr>
      <w:b/>
      <w:bCs/>
      <w:sz w:val="20"/>
      <w:szCs w:val="20"/>
    </w:rPr>
  </w:style>
  <w:style w:type="paragraph" w:styleId="Header">
    <w:name w:val="header"/>
    <w:basedOn w:val="Normal"/>
    <w:link w:val="HeaderChar"/>
    <w:uiPriority w:val="99"/>
    <w:unhideWhenUsed/>
    <w:rsid w:val="00FF79C0"/>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F79C0"/>
  </w:style>
  <w:style w:type="paragraph" w:styleId="Footer">
    <w:name w:val="footer"/>
    <w:basedOn w:val="Normal"/>
    <w:link w:val="FooterChar"/>
    <w:uiPriority w:val="99"/>
    <w:unhideWhenUsed/>
    <w:rsid w:val="00FF79C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F79C0"/>
  </w:style>
  <w:style w:type="character" w:customStyle="1" w:styleId="UnresolvedMention1">
    <w:name w:val="Unresolved Mention1"/>
    <w:basedOn w:val="DefaultParagraphFont"/>
    <w:uiPriority w:val="99"/>
    <w:semiHidden/>
    <w:unhideWhenUsed/>
    <w:rsid w:val="003B7295"/>
    <w:rPr>
      <w:color w:val="605E5C"/>
      <w:shd w:val="clear" w:color="auto" w:fill="E1DFDD"/>
    </w:rPr>
  </w:style>
  <w:style w:type="paragraph" w:styleId="NormalWeb">
    <w:name w:val="Normal (Web)"/>
    <w:basedOn w:val="Normal"/>
    <w:uiPriority w:val="99"/>
    <w:semiHidden/>
    <w:unhideWhenUsed/>
    <w:rsid w:val="006A5D4A"/>
    <w:pPr>
      <w:spacing w:before="100" w:beforeAutospacing="1" w:after="100" w:afterAutospacing="1"/>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6A5D4A"/>
    <w:rPr>
      <w:i/>
      <w:iCs/>
    </w:rPr>
  </w:style>
  <w:style w:type="character" w:styleId="FollowedHyperlink">
    <w:name w:val="FollowedHyperlink"/>
    <w:basedOn w:val="DefaultParagraphFont"/>
    <w:uiPriority w:val="99"/>
    <w:semiHidden/>
    <w:unhideWhenUsed/>
    <w:rsid w:val="00EF7764"/>
    <w:rPr>
      <w:color w:val="954F72" w:themeColor="followedHyperlink"/>
      <w:u w:val="single"/>
    </w:rPr>
  </w:style>
  <w:style w:type="paragraph" w:styleId="ListParagraph">
    <w:name w:val="List Paragraph"/>
    <w:basedOn w:val="Normal"/>
    <w:uiPriority w:val="34"/>
    <w:qFormat/>
    <w:rsid w:val="0034377F"/>
    <w:pPr>
      <w:ind w:left="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638">
      <w:bodyDiv w:val="1"/>
      <w:marLeft w:val="0"/>
      <w:marRight w:val="0"/>
      <w:marTop w:val="0"/>
      <w:marBottom w:val="0"/>
      <w:divBdr>
        <w:top w:val="none" w:sz="0" w:space="0" w:color="auto"/>
        <w:left w:val="none" w:sz="0" w:space="0" w:color="auto"/>
        <w:bottom w:val="none" w:sz="0" w:space="0" w:color="auto"/>
        <w:right w:val="none" w:sz="0" w:space="0" w:color="auto"/>
      </w:divBdr>
    </w:div>
    <w:div w:id="256329251">
      <w:bodyDiv w:val="1"/>
      <w:marLeft w:val="0"/>
      <w:marRight w:val="0"/>
      <w:marTop w:val="0"/>
      <w:marBottom w:val="0"/>
      <w:divBdr>
        <w:top w:val="none" w:sz="0" w:space="0" w:color="auto"/>
        <w:left w:val="none" w:sz="0" w:space="0" w:color="auto"/>
        <w:bottom w:val="none" w:sz="0" w:space="0" w:color="auto"/>
        <w:right w:val="none" w:sz="0" w:space="0" w:color="auto"/>
      </w:divBdr>
    </w:div>
    <w:div w:id="375853482">
      <w:bodyDiv w:val="1"/>
      <w:marLeft w:val="0"/>
      <w:marRight w:val="0"/>
      <w:marTop w:val="0"/>
      <w:marBottom w:val="0"/>
      <w:divBdr>
        <w:top w:val="none" w:sz="0" w:space="0" w:color="auto"/>
        <w:left w:val="none" w:sz="0" w:space="0" w:color="auto"/>
        <w:bottom w:val="none" w:sz="0" w:space="0" w:color="auto"/>
        <w:right w:val="none" w:sz="0" w:space="0" w:color="auto"/>
      </w:divBdr>
    </w:div>
    <w:div w:id="509567785">
      <w:bodyDiv w:val="1"/>
      <w:marLeft w:val="0"/>
      <w:marRight w:val="0"/>
      <w:marTop w:val="0"/>
      <w:marBottom w:val="0"/>
      <w:divBdr>
        <w:top w:val="none" w:sz="0" w:space="0" w:color="auto"/>
        <w:left w:val="none" w:sz="0" w:space="0" w:color="auto"/>
        <w:bottom w:val="none" w:sz="0" w:space="0" w:color="auto"/>
        <w:right w:val="none" w:sz="0" w:space="0" w:color="auto"/>
      </w:divBdr>
    </w:div>
    <w:div w:id="619531299">
      <w:bodyDiv w:val="1"/>
      <w:marLeft w:val="0"/>
      <w:marRight w:val="0"/>
      <w:marTop w:val="0"/>
      <w:marBottom w:val="0"/>
      <w:divBdr>
        <w:top w:val="none" w:sz="0" w:space="0" w:color="auto"/>
        <w:left w:val="none" w:sz="0" w:space="0" w:color="auto"/>
        <w:bottom w:val="none" w:sz="0" w:space="0" w:color="auto"/>
        <w:right w:val="none" w:sz="0" w:space="0" w:color="auto"/>
      </w:divBdr>
    </w:div>
    <w:div w:id="772482533">
      <w:bodyDiv w:val="1"/>
      <w:marLeft w:val="0"/>
      <w:marRight w:val="0"/>
      <w:marTop w:val="0"/>
      <w:marBottom w:val="0"/>
      <w:divBdr>
        <w:top w:val="none" w:sz="0" w:space="0" w:color="auto"/>
        <w:left w:val="none" w:sz="0" w:space="0" w:color="auto"/>
        <w:bottom w:val="none" w:sz="0" w:space="0" w:color="auto"/>
        <w:right w:val="none" w:sz="0" w:space="0" w:color="auto"/>
      </w:divBdr>
      <w:divsChild>
        <w:div w:id="2113549768">
          <w:marLeft w:val="360"/>
          <w:marRight w:val="0"/>
          <w:marTop w:val="0"/>
          <w:marBottom w:val="0"/>
          <w:divBdr>
            <w:top w:val="none" w:sz="0" w:space="0" w:color="auto"/>
            <w:left w:val="none" w:sz="0" w:space="0" w:color="auto"/>
            <w:bottom w:val="none" w:sz="0" w:space="0" w:color="auto"/>
            <w:right w:val="none" w:sz="0" w:space="0" w:color="auto"/>
          </w:divBdr>
        </w:div>
        <w:div w:id="639264956">
          <w:marLeft w:val="360"/>
          <w:marRight w:val="0"/>
          <w:marTop w:val="0"/>
          <w:marBottom w:val="0"/>
          <w:divBdr>
            <w:top w:val="none" w:sz="0" w:space="0" w:color="auto"/>
            <w:left w:val="none" w:sz="0" w:space="0" w:color="auto"/>
            <w:bottom w:val="none" w:sz="0" w:space="0" w:color="auto"/>
            <w:right w:val="none" w:sz="0" w:space="0" w:color="auto"/>
          </w:divBdr>
        </w:div>
      </w:divsChild>
    </w:div>
    <w:div w:id="776220216">
      <w:bodyDiv w:val="1"/>
      <w:marLeft w:val="0"/>
      <w:marRight w:val="0"/>
      <w:marTop w:val="0"/>
      <w:marBottom w:val="0"/>
      <w:divBdr>
        <w:top w:val="none" w:sz="0" w:space="0" w:color="auto"/>
        <w:left w:val="none" w:sz="0" w:space="0" w:color="auto"/>
        <w:bottom w:val="none" w:sz="0" w:space="0" w:color="auto"/>
        <w:right w:val="none" w:sz="0" w:space="0" w:color="auto"/>
      </w:divBdr>
    </w:div>
    <w:div w:id="1329363182">
      <w:bodyDiv w:val="1"/>
      <w:marLeft w:val="0"/>
      <w:marRight w:val="0"/>
      <w:marTop w:val="0"/>
      <w:marBottom w:val="0"/>
      <w:divBdr>
        <w:top w:val="none" w:sz="0" w:space="0" w:color="auto"/>
        <w:left w:val="none" w:sz="0" w:space="0" w:color="auto"/>
        <w:bottom w:val="none" w:sz="0" w:space="0" w:color="auto"/>
        <w:right w:val="none" w:sz="0" w:space="0" w:color="auto"/>
      </w:divBdr>
    </w:div>
    <w:div w:id="1354529790">
      <w:bodyDiv w:val="1"/>
      <w:marLeft w:val="0"/>
      <w:marRight w:val="0"/>
      <w:marTop w:val="0"/>
      <w:marBottom w:val="0"/>
      <w:divBdr>
        <w:top w:val="none" w:sz="0" w:space="0" w:color="auto"/>
        <w:left w:val="none" w:sz="0" w:space="0" w:color="auto"/>
        <w:bottom w:val="none" w:sz="0" w:space="0" w:color="auto"/>
        <w:right w:val="none" w:sz="0" w:space="0" w:color="auto"/>
      </w:divBdr>
    </w:div>
    <w:div w:id="1723138940">
      <w:bodyDiv w:val="1"/>
      <w:marLeft w:val="0"/>
      <w:marRight w:val="0"/>
      <w:marTop w:val="0"/>
      <w:marBottom w:val="0"/>
      <w:divBdr>
        <w:top w:val="none" w:sz="0" w:space="0" w:color="auto"/>
        <w:left w:val="none" w:sz="0" w:space="0" w:color="auto"/>
        <w:bottom w:val="none" w:sz="0" w:space="0" w:color="auto"/>
        <w:right w:val="none" w:sz="0" w:space="0" w:color="auto"/>
      </w:divBdr>
    </w:div>
    <w:div w:id="1764451472">
      <w:bodyDiv w:val="1"/>
      <w:marLeft w:val="0"/>
      <w:marRight w:val="0"/>
      <w:marTop w:val="0"/>
      <w:marBottom w:val="0"/>
      <w:divBdr>
        <w:top w:val="none" w:sz="0" w:space="0" w:color="auto"/>
        <w:left w:val="none" w:sz="0" w:space="0" w:color="auto"/>
        <w:bottom w:val="none" w:sz="0" w:space="0" w:color="auto"/>
        <w:right w:val="none" w:sz="0" w:space="0" w:color="auto"/>
      </w:divBdr>
      <w:divsChild>
        <w:div w:id="1325275691">
          <w:marLeft w:val="360"/>
          <w:marRight w:val="0"/>
          <w:marTop w:val="0"/>
          <w:marBottom w:val="0"/>
          <w:divBdr>
            <w:top w:val="none" w:sz="0" w:space="0" w:color="auto"/>
            <w:left w:val="none" w:sz="0" w:space="0" w:color="auto"/>
            <w:bottom w:val="none" w:sz="0" w:space="0" w:color="auto"/>
            <w:right w:val="none" w:sz="0" w:space="0" w:color="auto"/>
          </w:divBdr>
        </w:div>
        <w:div w:id="480118347">
          <w:marLeft w:val="360"/>
          <w:marRight w:val="0"/>
          <w:marTop w:val="0"/>
          <w:marBottom w:val="0"/>
          <w:divBdr>
            <w:top w:val="none" w:sz="0" w:space="0" w:color="auto"/>
            <w:left w:val="none" w:sz="0" w:space="0" w:color="auto"/>
            <w:bottom w:val="none" w:sz="0" w:space="0" w:color="auto"/>
            <w:right w:val="none" w:sz="0" w:space="0" w:color="auto"/>
          </w:divBdr>
        </w:div>
      </w:divsChild>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
    <w:div w:id="1950357565">
      <w:bodyDiv w:val="1"/>
      <w:marLeft w:val="0"/>
      <w:marRight w:val="0"/>
      <w:marTop w:val="0"/>
      <w:marBottom w:val="0"/>
      <w:divBdr>
        <w:top w:val="none" w:sz="0" w:space="0" w:color="auto"/>
        <w:left w:val="none" w:sz="0" w:space="0" w:color="auto"/>
        <w:bottom w:val="none" w:sz="0" w:space="0" w:color="auto"/>
        <w:right w:val="none" w:sz="0" w:space="0" w:color="auto"/>
      </w:divBdr>
    </w:div>
    <w:div w:id="19708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6" ma:contentTypeDescription="Kurkite naują dokumentą." ma:contentTypeScope="" ma:versionID="fb9c09cc0c95fef6a7a0c17a92bc98ee">
  <xsd:schema xmlns:xsd="http://www.w3.org/2001/XMLSchema" xmlns:xs="http://www.w3.org/2001/XMLSchema" xmlns:p="http://schemas.microsoft.com/office/2006/metadata/properties" xmlns:ns2="fb290afd-b687-4e3a-aacc-387c928723e0" targetNamespace="http://schemas.microsoft.com/office/2006/metadata/properties" ma:root="true" ma:fieldsID="22e252c9b5599460e62593f9be035e0e" ns2:_="">
    <xsd:import namespace="fb290afd-b687-4e3a-aacc-387c928723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83DA-35D7-4C34-BD3A-21E46060B9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63919E-AFAA-42D6-B005-67D042A20340}">
  <ds:schemaRefs>
    <ds:schemaRef ds:uri="http://schemas.microsoft.com/sharepoint/v3/contenttype/forms"/>
  </ds:schemaRefs>
</ds:datastoreItem>
</file>

<file path=customXml/itemProps3.xml><?xml version="1.0" encoding="utf-8"?>
<ds:datastoreItem xmlns:ds="http://schemas.openxmlformats.org/officeDocument/2006/customXml" ds:itemID="{668BB18D-CCEE-48F1-9A3D-B71AF4860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78568-26F5-4D83-B71A-C7FFB657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eglecibiene</dc:creator>
  <cp:lastModifiedBy>Eglė Cibienė</cp:lastModifiedBy>
  <cp:revision>3</cp:revision>
  <dcterms:created xsi:type="dcterms:W3CDTF">2021-06-01T05:27:00Z</dcterms:created>
  <dcterms:modified xsi:type="dcterms:W3CDTF">2021-06-01T05:28:00Z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